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1870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6D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Pr="00A125D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25D4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A12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5D4">
        <w:rPr>
          <w:rFonts w:ascii="Times New Roman" w:hAnsi="Times New Roman" w:cs="Times New Roman"/>
          <w:b/>
          <w:sz w:val="24"/>
          <w:szCs w:val="24"/>
        </w:rPr>
        <w:t>на оказание услуг</w:t>
      </w:r>
      <w:r w:rsidR="00A125D4" w:rsidRPr="00A125D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6D2F">
        <w:rPr>
          <w:rFonts w:ascii="Times New Roman" w:hAnsi="Times New Roman" w:cs="Times New Roman"/>
          <w:b/>
          <w:sz w:val="24"/>
          <w:szCs w:val="24"/>
        </w:rPr>
        <w:t>несению аварийно-спасательной</w:t>
      </w:r>
      <w:r w:rsidR="00A125D4" w:rsidRPr="00A125D4">
        <w:rPr>
          <w:rFonts w:ascii="Times New Roman" w:hAnsi="Times New Roman" w:cs="Times New Roman"/>
          <w:b/>
          <w:sz w:val="24"/>
          <w:szCs w:val="24"/>
        </w:rPr>
        <w:t xml:space="preserve"> готовности</w:t>
      </w:r>
      <w:r w:rsidR="00526D2F">
        <w:rPr>
          <w:rFonts w:ascii="Times New Roman" w:hAnsi="Times New Roman" w:cs="Times New Roman"/>
          <w:b/>
          <w:sz w:val="24"/>
          <w:szCs w:val="24"/>
        </w:rPr>
        <w:t>,</w:t>
      </w:r>
      <w:r w:rsidR="00A125D4" w:rsidRPr="00A12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D2F">
        <w:rPr>
          <w:rFonts w:ascii="Times New Roman" w:hAnsi="Times New Roman" w:cs="Times New Roman"/>
          <w:b/>
          <w:sz w:val="24"/>
          <w:szCs w:val="24"/>
        </w:rPr>
        <w:t xml:space="preserve">несению готовности </w:t>
      </w:r>
      <w:r w:rsidR="00A125D4" w:rsidRPr="00A125D4">
        <w:rPr>
          <w:rFonts w:ascii="Times New Roman" w:hAnsi="Times New Roman" w:cs="Times New Roman"/>
          <w:b/>
          <w:sz w:val="24"/>
          <w:szCs w:val="24"/>
        </w:rPr>
        <w:t>к локализации и ликвидации аварийных разливов нефти и нефтепродуктов в зоне ответственности Заказчика (далее - АСГ/ЛРН)</w:t>
      </w:r>
      <w:r w:rsidR="00526D2F">
        <w:rPr>
          <w:rFonts w:ascii="Times New Roman" w:hAnsi="Times New Roman" w:cs="Times New Roman"/>
          <w:b/>
          <w:sz w:val="24"/>
          <w:szCs w:val="24"/>
        </w:rPr>
        <w:t>:</w:t>
      </w:r>
      <w:r w:rsidR="00A125D4" w:rsidRPr="00A125D4">
        <w:rPr>
          <w:rFonts w:ascii="Times New Roman" w:hAnsi="Times New Roman" w:cs="Times New Roman"/>
          <w:b/>
          <w:sz w:val="24"/>
          <w:szCs w:val="24"/>
        </w:rPr>
        <w:t xml:space="preserve"> в границах акватории морского порта Махачкала </w:t>
      </w:r>
      <w:r w:rsidR="005063C9" w:rsidRPr="00A125D4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730D72" w:rsidRPr="00A125D4">
        <w:rPr>
          <w:rFonts w:ascii="Times New Roman" w:hAnsi="Times New Roman" w:cs="Times New Roman"/>
          <w:b/>
          <w:sz w:val="24"/>
          <w:szCs w:val="24"/>
        </w:rPr>
        <w:t>пп.2</w:t>
      </w:r>
      <w:r w:rsidR="00972435" w:rsidRPr="00A125D4">
        <w:rPr>
          <w:rFonts w:ascii="Times New Roman" w:hAnsi="Times New Roman" w:cs="Times New Roman"/>
          <w:b/>
          <w:sz w:val="24"/>
          <w:szCs w:val="24"/>
        </w:rPr>
        <w:t>4</w:t>
      </w:r>
      <w:r w:rsidR="005063C9" w:rsidRPr="00A125D4">
        <w:rPr>
          <w:rFonts w:ascii="Times New Roman" w:hAnsi="Times New Roman" w:cs="Times New Roman"/>
          <w:b/>
          <w:sz w:val="24"/>
          <w:szCs w:val="24"/>
        </w:rPr>
        <w:t xml:space="preserve"> п. 4.7.1 Положения о закупках товаров, работ, услуг для нужд Федерального государственного бюджетного учреждения «Администрация морских портов</w:t>
      </w:r>
      <w:proofErr w:type="gramEnd"/>
      <w:r w:rsidR="005063C9" w:rsidRPr="00A125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063C9" w:rsidRPr="00A125D4"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DB7ADA" w:rsidRPr="00F32E3C" w:rsidRDefault="00DB7ADA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982BA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A125D4" w:rsidRPr="00A125D4" w:rsidRDefault="00A125D4" w:rsidP="00A125D4">
            <w:pPr>
              <w:tabs>
                <w:tab w:val="left" w:pos="1134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поручает, а Исполнитель принимает на себя обязательства оказать услуги по </w:t>
            </w:r>
            <w:r w:rsidR="00526D2F">
              <w:rPr>
                <w:rFonts w:ascii="Times New Roman" w:hAnsi="Times New Roman" w:cs="Times New Roman"/>
                <w:sz w:val="24"/>
                <w:szCs w:val="24"/>
              </w:rPr>
              <w:t>несению аварийно-спасательной</w:t>
            </w:r>
            <w:r w:rsidRPr="00A125D4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</w:t>
            </w:r>
            <w:r w:rsidR="00526D2F">
              <w:rPr>
                <w:rFonts w:ascii="Times New Roman" w:hAnsi="Times New Roman" w:cs="Times New Roman"/>
                <w:sz w:val="24"/>
                <w:szCs w:val="24"/>
              </w:rPr>
              <w:t>, несению готовности</w:t>
            </w:r>
            <w:r w:rsidRPr="00A125D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526D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125D4">
              <w:rPr>
                <w:rFonts w:ascii="Times New Roman" w:hAnsi="Times New Roman" w:cs="Times New Roman"/>
                <w:sz w:val="24"/>
                <w:szCs w:val="24"/>
              </w:rPr>
              <w:t>окализации и ликвидации аварийных разливов нефти и нефтепродуктов в зоне ответственности Заказчика (далее - АСГ/ЛРН)</w:t>
            </w:r>
            <w:r w:rsidR="00526D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25D4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акватории морского порта Махачкала, согласно Техническому заданию (Приложение № 1 к настоящему договору</w:t>
            </w:r>
            <w:r w:rsidR="004A49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12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25D4" w:rsidRPr="00A125D4" w:rsidRDefault="00A125D4" w:rsidP="00A125D4">
            <w:pPr>
              <w:tabs>
                <w:tab w:val="left" w:pos="1134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D4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услуг: с 01 </w:t>
            </w:r>
            <w:r w:rsidR="00526D2F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Pr="00A125D4">
              <w:rPr>
                <w:rFonts w:ascii="Times New Roman" w:hAnsi="Times New Roman" w:cs="Times New Roman"/>
                <w:sz w:val="24"/>
                <w:szCs w:val="24"/>
              </w:rPr>
              <w:t>ря 201</w:t>
            </w:r>
            <w:r w:rsidR="00526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25D4">
              <w:rPr>
                <w:rFonts w:ascii="Times New Roman" w:hAnsi="Times New Roman" w:cs="Times New Roman"/>
                <w:sz w:val="24"/>
                <w:szCs w:val="24"/>
              </w:rPr>
              <w:t xml:space="preserve"> года по 31 декабря 201</w:t>
            </w:r>
            <w:r w:rsidR="00526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25D4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2E5BF6" w:rsidRPr="002E5BF6" w:rsidRDefault="002E5BF6" w:rsidP="00700EA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637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187053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Pr="00A125D4" w:rsidRDefault="00526D2F" w:rsidP="0052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6 999 996</w:t>
            </w:r>
            <w:r w:rsidR="00A125D4" w:rsidRPr="00A125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="00A125D4" w:rsidRPr="00A125D4">
              <w:rPr>
                <w:rFonts w:ascii="Times New Roman" w:hAnsi="Times New Roman" w:cs="Times New Roman"/>
                <w:sz w:val="24"/>
                <w:szCs w:val="24"/>
              </w:rPr>
              <w:t xml:space="preserve">  миллион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дев</w:t>
            </w:r>
            <w:r w:rsidR="00A125D4" w:rsidRPr="00A125D4">
              <w:rPr>
                <w:rFonts w:ascii="Times New Roman" w:hAnsi="Times New Roman" w:cs="Times New Roman"/>
                <w:sz w:val="24"/>
                <w:szCs w:val="24"/>
              </w:rPr>
              <w:t>ятьсот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девяносто девять</w:t>
            </w:r>
            <w:r w:rsidR="00A125D4" w:rsidRPr="00A125D4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девятьсот девяносто шесть</w:t>
            </w:r>
            <w:r w:rsidR="00A125D4" w:rsidRPr="00A125D4">
              <w:rPr>
                <w:rFonts w:ascii="Times New Roman" w:hAnsi="Times New Roman" w:cs="Times New Roman"/>
                <w:sz w:val="24"/>
                <w:szCs w:val="24"/>
              </w:rPr>
              <w:t>) рублей 00 копеек, в т. ч. НДС- 18 %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- 1 067 796 (Один миллион шестьдесят семь тысяч семьсот девяносто шесть) рублей 00 копеек.</w:t>
            </w:r>
          </w:p>
        </w:tc>
      </w:tr>
      <w:tr w:rsidR="009B4E94" w:rsidTr="005B28A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BF0287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B775C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95000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837C37" w:rsidRPr="006641C8" w:rsidRDefault="00837C37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837C37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837C37" w:rsidRPr="006641C8" w:rsidRDefault="00837C37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304B8A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837C37" w:rsidRPr="006641C8" w:rsidRDefault="00304B8A" w:rsidP="00304B8A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1870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23F29" w:rsidRDefault="00223F2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5D4" w:rsidRPr="00A125D4" w:rsidRDefault="00A125D4" w:rsidP="00A12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25D4">
        <w:rPr>
          <w:rFonts w:ascii="Times New Roman" w:hAnsi="Times New Roman" w:cs="Times New Roman"/>
          <w:b/>
          <w:sz w:val="24"/>
          <w:szCs w:val="24"/>
        </w:rPr>
        <w:t xml:space="preserve">Извещение о закупке у единственного поставщика (исполнителя, подрядчика) </w:t>
      </w:r>
      <w:r>
        <w:rPr>
          <w:rFonts w:ascii="Times New Roman" w:hAnsi="Times New Roman" w:cs="Times New Roman"/>
          <w:b/>
          <w:sz w:val="24"/>
          <w:szCs w:val="24"/>
        </w:rPr>
        <w:t>на оказание услуг</w:t>
      </w:r>
      <w:r w:rsidRPr="00A125D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6D2F">
        <w:rPr>
          <w:rFonts w:ascii="Times New Roman" w:hAnsi="Times New Roman" w:cs="Times New Roman"/>
          <w:b/>
          <w:sz w:val="24"/>
          <w:szCs w:val="24"/>
        </w:rPr>
        <w:t>несению аварийно-спасательной</w:t>
      </w:r>
      <w:r w:rsidRPr="00A125D4">
        <w:rPr>
          <w:rFonts w:ascii="Times New Roman" w:hAnsi="Times New Roman" w:cs="Times New Roman"/>
          <w:b/>
          <w:sz w:val="24"/>
          <w:szCs w:val="24"/>
        </w:rPr>
        <w:t xml:space="preserve"> готовности</w:t>
      </w:r>
      <w:r w:rsidR="00526D2F">
        <w:rPr>
          <w:rFonts w:ascii="Times New Roman" w:hAnsi="Times New Roman" w:cs="Times New Roman"/>
          <w:b/>
          <w:sz w:val="24"/>
          <w:szCs w:val="24"/>
        </w:rPr>
        <w:t>, несению готовности к локализации</w:t>
      </w:r>
      <w:r w:rsidRPr="00A125D4">
        <w:rPr>
          <w:rFonts w:ascii="Times New Roman" w:hAnsi="Times New Roman" w:cs="Times New Roman"/>
          <w:b/>
          <w:sz w:val="24"/>
          <w:szCs w:val="24"/>
        </w:rPr>
        <w:t xml:space="preserve"> и ликвидации аварийных разливов нефти и нефтепродуктов в зоне ответственности Заказчика (далее - АСГ/ЛРН)</w:t>
      </w:r>
      <w:r w:rsidR="00526D2F">
        <w:rPr>
          <w:rFonts w:ascii="Times New Roman" w:hAnsi="Times New Roman" w:cs="Times New Roman"/>
          <w:b/>
          <w:sz w:val="24"/>
          <w:szCs w:val="24"/>
        </w:rPr>
        <w:t>:</w:t>
      </w:r>
      <w:r w:rsidRPr="00A125D4">
        <w:rPr>
          <w:rFonts w:ascii="Times New Roman" w:hAnsi="Times New Roman" w:cs="Times New Roman"/>
          <w:b/>
          <w:sz w:val="24"/>
          <w:szCs w:val="24"/>
        </w:rPr>
        <w:t xml:space="preserve"> в границах акватории морского порта Махачкала (на основании пп.24 п. 4.7.1 Положения о закупках товаров, работ, услуг для нужд Федерального государственного бюджетного учреждения «Администрация морских портов</w:t>
      </w:r>
      <w:proofErr w:type="gramEnd"/>
      <w:r w:rsidRPr="00A125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125D4"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B7ADA" w:rsidRPr="00D715F8" w:rsidRDefault="00DB7ADA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187053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A125D4" w:rsidRPr="00A125D4" w:rsidRDefault="00A125D4" w:rsidP="00A125D4">
            <w:pPr>
              <w:tabs>
                <w:tab w:val="left" w:pos="1134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25D4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 w:rsidR="00526D2F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Pr="00A125D4">
              <w:rPr>
                <w:rFonts w:ascii="Times New Roman" w:hAnsi="Times New Roman" w:cs="Times New Roman"/>
                <w:sz w:val="24"/>
                <w:szCs w:val="24"/>
              </w:rPr>
              <w:t>ря 201</w:t>
            </w:r>
            <w:r w:rsidR="00526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25D4">
              <w:rPr>
                <w:rFonts w:ascii="Times New Roman" w:hAnsi="Times New Roman" w:cs="Times New Roman"/>
                <w:sz w:val="24"/>
                <w:szCs w:val="24"/>
              </w:rPr>
              <w:t xml:space="preserve"> года по 31 декабря 201</w:t>
            </w:r>
            <w:r w:rsidR="00526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25D4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526D2F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6 999 996</w:t>
            </w:r>
            <w:r w:rsidRPr="00A125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Pr="00A125D4">
              <w:rPr>
                <w:rFonts w:ascii="Times New Roman" w:hAnsi="Times New Roman" w:cs="Times New Roman"/>
                <w:sz w:val="24"/>
                <w:szCs w:val="24"/>
              </w:rPr>
              <w:t xml:space="preserve">  миллион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дев</w:t>
            </w:r>
            <w:r w:rsidRPr="00A125D4">
              <w:rPr>
                <w:rFonts w:ascii="Times New Roman" w:hAnsi="Times New Roman" w:cs="Times New Roman"/>
                <w:sz w:val="24"/>
                <w:szCs w:val="24"/>
              </w:rPr>
              <w:t>ятьсот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девяносто девять</w:t>
            </w:r>
            <w:r w:rsidRPr="00A125D4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девятьсот девяносто шесть</w:t>
            </w:r>
            <w:r w:rsidRPr="00A125D4">
              <w:rPr>
                <w:rFonts w:ascii="Times New Roman" w:hAnsi="Times New Roman" w:cs="Times New Roman"/>
                <w:sz w:val="24"/>
                <w:szCs w:val="24"/>
              </w:rPr>
              <w:t>) рублей 00 копеек, в т. ч. НДС- 18 %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- 1 067 796 (Один миллион шестьдесят семь тысяч семьсот девяносто шесть) рублей 00 копеек.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формирования цены договора (цены лота) (с учетом или без учета расходов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Default="004A493F" w:rsidP="00745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учётом расходов </w:t>
            </w:r>
            <w:r w:rsidRPr="004A493F">
              <w:rPr>
                <w:rFonts w:ascii="Times New Roman" w:hAnsi="Times New Roman" w:cs="Times New Roman"/>
                <w:sz w:val="24"/>
                <w:szCs w:val="24"/>
              </w:rPr>
              <w:t>на перевозку, страхование, уплату таможенных пошлин, налогов и других обязательных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5D4" w:rsidRDefault="00A125D4" w:rsidP="004A493F">
      <w:pPr>
        <w:pStyle w:val="1"/>
        <w:keepNext w:val="0"/>
        <w:widowControl w:val="0"/>
        <w:jc w:val="center"/>
        <w:rPr>
          <w:color w:val="000000"/>
          <w:szCs w:val="24"/>
        </w:rPr>
      </w:pPr>
    </w:p>
    <w:p w:rsidR="00A125D4" w:rsidRPr="00A125D4" w:rsidRDefault="004A493F" w:rsidP="004A493F">
      <w:pPr>
        <w:pStyle w:val="1"/>
        <w:keepNext w:val="0"/>
        <w:widowControl w:val="0"/>
        <w:rPr>
          <w:szCs w:val="24"/>
        </w:rPr>
      </w:pPr>
      <w:r>
        <w:rPr>
          <w:color w:val="000000"/>
          <w:szCs w:val="24"/>
        </w:rPr>
        <w:t xml:space="preserve">                                                               </w:t>
      </w:r>
      <w:bookmarkStart w:id="0" w:name="_GoBack"/>
      <w:bookmarkEnd w:id="0"/>
      <w:r w:rsidR="00B01241" w:rsidRPr="00D76B73">
        <w:rPr>
          <w:color w:val="000000"/>
          <w:szCs w:val="24"/>
        </w:rPr>
        <w:t>Проект</w:t>
      </w:r>
      <w:r>
        <w:rPr>
          <w:color w:val="000000"/>
          <w:szCs w:val="24"/>
        </w:rPr>
        <w:t xml:space="preserve"> Договора</w:t>
      </w:r>
    </w:p>
    <w:p w:rsidR="008C0561" w:rsidRDefault="008C0561" w:rsidP="004A493F">
      <w:pPr>
        <w:pStyle w:val="1"/>
        <w:keepNext w:val="0"/>
        <w:widowControl w:val="0"/>
        <w:jc w:val="center"/>
        <w:rPr>
          <w:rStyle w:val="10"/>
          <w:b/>
          <w:bCs/>
          <w:szCs w:val="24"/>
        </w:rPr>
      </w:pPr>
      <w:r w:rsidRPr="007E5D61">
        <w:rPr>
          <w:rStyle w:val="10"/>
          <w:b/>
          <w:bCs/>
          <w:szCs w:val="24"/>
        </w:rPr>
        <w:t>ДОГОВОР №___</w:t>
      </w:r>
      <w:r>
        <w:rPr>
          <w:rStyle w:val="10"/>
          <w:b/>
          <w:bCs/>
          <w:szCs w:val="24"/>
        </w:rPr>
        <w:t>_______</w:t>
      </w:r>
      <w:r w:rsidRPr="007E5D61">
        <w:rPr>
          <w:rStyle w:val="10"/>
          <w:b/>
          <w:bCs/>
          <w:szCs w:val="24"/>
        </w:rPr>
        <w:t>______</w:t>
      </w:r>
    </w:p>
    <w:p w:rsidR="008C0561" w:rsidRPr="008C0561" w:rsidRDefault="008C0561" w:rsidP="008C0561">
      <w:pPr>
        <w:jc w:val="center"/>
        <w:rPr>
          <w:rFonts w:ascii="Times New Roman" w:hAnsi="Times New Roman" w:cs="Times New Roman"/>
        </w:rPr>
      </w:pPr>
      <w:r w:rsidRPr="008C0561">
        <w:rPr>
          <w:rFonts w:ascii="Times New Roman" w:hAnsi="Times New Roman" w:cs="Times New Roman"/>
        </w:rPr>
        <w:t>на несение АСГ/ЛРН в границах акватории морского порта Махачкала</w:t>
      </w:r>
    </w:p>
    <w:p w:rsidR="008C0561" w:rsidRPr="008C0561" w:rsidRDefault="008C0561" w:rsidP="008C0561">
      <w:pPr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 xml:space="preserve">г. Астрахань </w:t>
      </w:r>
      <w:bookmarkStart w:id="1" w:name="OLE_LINK1"/>
      <w:r w:rsidRPr="008C0561">
        <w:rPr>
          <w:rFonts w:ascii="Times New Roman" w:hAnsi="Times New Roman" w:cs="Times New Roman"/>
          <w:sz w:val="24"/>
          <w:szCs w:val="24"/>
        </w:rPr>
        <w:tab/>
      </w:r>
      <w:r w:rsidRPr="008C0561">
        <w:rPr>
          <w:rFonts w:ascii="Times New Roman" w:hAnsi="Times New Roman" w:cs="Times New Roman"/>
          <w:sz w:val="24"/>
          <w:szCs w:val="24"/>
        </w:rPr>
        <w:tab/>
      </w:r>
      <w:r w:rsidRPr="008C05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056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«____» _________ 201__ г</w:t>
      </w:r>
      <w:bookmarkEnd w:id="1"/>
      <w:r w:rsidRPr="008C0561">
        <w:rPr>
          <w:rFonts w:ascii="Times New Roman" w:hAnsi="Times New Roman" w:cs="Times New Roman"/>
          <w:sz w:val="24"/>
          <w:szCs w:val="24"/>
        </w:rPr>
        <w:t>.</w:t>
      </w:r>
    </w:p>
    <w:p w:rsidR="008C0561" w:rsidRPr="008C0561" w:rsidRDefault="008C0561" w:rsidP="008C0561">
      <w:pPr>
        <w:pStyle w:val="21"/>
        <w:ind w:right="-2" w:firstLine="725"/>
        <w:rPr>
          <w:b w:val="0"/>
          <w:i w:val="0"/>
          <w:szCs w:val="24"/>
        </w:rPr>
      </w:pPr>
      <w:proofErr w:type="gramStart"/>
      <w:r w:rsidRPr="008C0561">
        <w:rPr>
          <w:b w:val="0"/>
          <w:i w:val="0"/>
          <w:szCs w:val="24"/>
        </w:rPr>
        <w:t xml:space="preserve">Федеральное государственное бюджетное учреждение «Администрация морских портов Каспийского моря» (ФГБУ «АМП Каспийского моря»), именуемое в дальнейшем «Заказчик», в лице руководителя ФГБУ «АМП Каспийского моря» </w:t>
      </w:r>
      <w:proofErr w:type="spellStart"/>
      <w:r w:rsidRPr="008C0561">
        <w:rPr>
          <w:b w:val="0"/>
          <w:i w:val="0"/>
          <w:szCs w:val="24"/>
        </w:rPr>
        <w:t>Абдулатипова</w:t>
      </w:r>
      <w:proofErr w:type="spellEnd"/>
      <w:r w:rsidRPr="008C0561">
        <w:rPr>
          <w:b w:val="0"/>
          <w:i w:val="0"/>
          <w:szCs w:val="24"/>
        </w:rPr>
        <w:t xml:space="preserve"> Магомеда </w:t>
      </w:r>
      <w:proofErr w:type="spellStart"/>
      <w:r w:rsidRPr="008C0561">
        <w:rPr>
          <w:b w:val="0"/>
          <w:i w:val="0"/>
          <w:szCs w:val="24"/>
        </w:rPr>
        <w:t>Алиевича</w:t>
      </w:r>
      <w:proofErr w:type="spellEnd"/>
      <w:r w:rsidRPr="008C0561">
        <w:rPr>
          <w:b w:val="0"/>
          <w:i w:val="0"/>
          <w:szCs w:val="24"/>
        </w:rPr>
        <w:t xml:space="preserve">, действующего на основании Устава, с одной стороны, и Акционерное общество «Махачкалинский морской торговый порт» (АО «ММТП»), именуемое в дальнейшем «Исполнитель», в лице Генерального директора </w:t>
      </w:r>
      <w:proofErr w:type="spellStart"/>
      <w:r w:rsidRPr="008C0561">
        <w:rPr>
          <w:b w:val="0"/>
          <w:i w:val="0"/>
          <w:szCs w:val="24"/>
        </w:rPr>
        <w:t>Хидирова</w:t>
      </w:r>
      <w:proofErr w:type="spellEnd"/>
      <w:r w:rsidRPr="008C0561">
        <w:rPr>
          <w:b w:val="0"/>
          <w:i w:val="0"/>
          <w:szCs w:val="24"/>
        </w:rPr>
        <w:t xml:space="preserve"> </w:t>
      </w:r>
      <w:proofErr w:type="spellStart"/>
      <w:r w:rsidRPr="008C0561">
        <w:rPr>
          <w:b w:val="0"/>
          <w:i w:val="0"/>
          <w:szCs w:val="24"/>
        </w:rPr>
        <w:t>Мурадхана</w:t>
      </w:r>
      <w:proofErr w:type="spellEnd"/>
      <w:r w:rsidRPr="008C0561">
        <w:rPr>
          <w:b w:val="0"/>
          <w:i w:val="0"/>
          <w:szCs w:val="24"/>
        </w:rPr>
        <w:t xml:space="preserve"> </w:t>
      </w:r>
      <w:proofErr w:type="spellStart"/>
      <w:r w:rsidRPr="008C0561">
        <w:rPr>
          <w:b w:val="0"/>
          <w:i w:val="0"/>
          <w:szCs w:val="24"/>
        </w:rPr>
        <w:t>Хидировича</w:t>
      </w:r>
      <w:proofErr w:type="spellEnd"/>
      <w:r w:rsidRPr="008C0561">
        <w:rPr>
          <w:b w:val="0"/>
          <w:i w:val="0"/>
          <w:szCs w:val="24"/>
        </w:rPr>
        <w:t>, действующего на основании Устава, с другой</w:t>
      </w:r>
      <w:proofErr w:type="gramEnd"/>
      <w:r w:rsidRPr="008C0561">
        <w:rPr>
          <w:b w:val="0"/>
          <w:i w:val="0"/>
          <w:szCs w:val="24"/>
        </w:rPr>
        <w:t xml:space="preserve"> стороны (далее именуемые «Стороны»), заключили настоящий Договор о нижеследующем:</w:t>
      </w:r>
    </w:p>
    <w:p w:rsidR="008C0561" w:rsidRPr="008C0561" w:rsidRDefault="008C0561" w:rsidP="008C056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C0561" w:rsidRPr="008C0561" w:rsidRDefault="008C0561" w:rsidP="008C0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6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C0561" w:rsidRPr="008C0561" w:rsidRDefault="008C0561" w:rsidP="008C0561">
      <w:pPr>
        <w:numPr>
          <w:ilvl w:val="1"/>
          <w:numId w:val="26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 xml:space="preserve">Заказчик поручает, а Исполнитель принимает на себя обязательства оказать услуги по несению аварийно-спасательной готовности, несению готовности к локализации и ликвидации аварийных разливов нефти и нефтепродуктов в зоне ответственности Заказчика (далее - АСГ/ЛРН): в границах акватории морского порта Махачкала, согласно Техническому заданию (Приложение № 1 к настоящему договору). </w:t>
      </w:r>
    </w:p>
    <w:p w:rsidR="008C0561" w:rsidRPr="008C0561" w:rsidRDefault="008C0561" w:rsidP="008C0561">
      <w:pPr>
        <w:numPr>
          <w:ilvl w:val="1"/>
          <w:numId w:val="26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Срок оказания услуг: с 01 января 2018 года по 31 декабря 2018 года.</w:t>
      </w:r>
    </w:p>
    <w:p w:rsidR="008C0561" w:rsidRPr="008C0561" w:rsidRDefault="008C0561" w:rsidP="008C0561">
      <w:pPr>
        <w:rPr>
          <w:rFonts w:ascii="Times New Roman" w:hAnsi="Times New Roman" w:cs="Times New Roman"/>
          <w:sz w:val="24"/>
          <w:szCs w:val="24"/>
        </w:rPr>
      </w:pPr>
    </w:p>
    <w:p w:rsidR="008C0561" w:rsidRPr="008C0561" w:rsidRDefault="008C0561" w:rsidP="008C056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6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8C0561" w:rsidRPr="008C0561" w:rsidRDefault="008C0561" w:rsidP="008C056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561">
        <w:rPr>
          <w:rFonts w:ascii="Times New Roman" w:hAnsi="Times New Roman" w:cs="Times New Roman"/>
          <w:sz w:val="24"/>
          <w:szCs w:val="24"/>
        </w:rPr>
        <w:t xml:space="preserve">2.1. </w:t>
      </w:r>
      <w:r w:rsidRPr="008C0561">
        <w:rPr>
          <w:rFonts w:ascii="Times New Roman" w:hAnsi="Times New Roman" w:cs="Times New Roman"/>
          <w:b/>
          <w:sz w:val="24"/>
          <w:szCs w:val="24"/>
          <w:u w:val="single"/>
        </w:rPr>
        <w:t>Исполнитель обязуется:</w:t>
      </w:r>
    </w:p>
    <w:p w:rsidR="008C0561" w:rsidRPr="008C0561" w:rsidRDefault="008C0561" w:rsidP="008C0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2.1.1. Организовать круглосуточное дежурство сил и сре</w:t>
      </w:r>
      <w:proofErr w:type="gramStart"/>
      <w:r w:rsidRPr="008C0561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8C0561">
        <w:rPr>
          <w:rFonts w:ascii="Times New Roman" w:hAnsi="Times New Roman" w:cs="Times New Roman"/>
          <w:sz w:val="24"/>
          <w:szCs w:val="24"/>
        </w:rPr>
        <w:t>оне ответственности Заказчика, указанной в п. 1.1. и Приложении № 1 к настоящему Договору.</w:t>
      </w:r>
    </w:p>
    <w:p w:rsidR="008C0561" w:rsidRPr="008C0561" w:rsidRDefault="008C0561" w:rsidP="008C0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2.1.2. Обеспечить наличие оборудования и его готовность к работам по несению АСГ/ЛРН в границах акватории морского порта Махачкала. Состав дежурных сил и технических средств Исполнителя указан в Приложении № 1 к настоящему Договору, которое является неотъемлемой частью настоящего Договора.</w:t>
      </w:r>
    </w:p>
    <w:p w:rsidR="008C0561" w:rsidRPr="008C0561" w:rsidRDefault="008C0561" w:rsidP="008C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 xml:space="preserve">2.1.3. </w:t>
      </w:r>
      <w:proofErr w:type="gramStart"/>
      <w:r w:rsidRPr="008C0561">
        <w:rPr>
          <w:rFonts w:ascii="Times New Roman" w:hAnsi="Times New Roman" w:cs="Times New Roman"/>
          <w:sz w:val="24"/>
          <w:szCs w:val="24"/>
        </w:rPr>
        <w:t>Обеспечить готовность к работам по несению АСГ/ЛРН, обеспечить готовность дежурных сил и технических средств, в соответствии с Постановлением Правительства РФ от 15.04.2002 № 240 «О порядке организации мероприятий по предупреждению и ликвидации разливов нефти и нефтепродуктов на территории Российской Федерации», приказом Минтранса РФ от 07.06.1999 № 32 «Об утверждении Положения об организации аварийно-спасательного обеспечения на морском транспорте», приказом Минтранса РФ от</w:t>
      </w:r>
      <w:proofErr w:type="gramEnd"/>
      <w:r w:rsidRPr="008C0561">
        <w:rPr>
          <w:rFonts w:ascii="Times New Roman" w:hAnsi="Times New Roman" w:cs="Times New Roman"/>
          <w:sz w:val="24"/>
          <w:szCs w:val="24"/>
        </w:rPr>
        <w:t xml:space="preserve"> 06.04.2009 N 53 «Об утверждении Положения о функциональной подсистеме 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принадлежности» и условиями настоящего Договора.</w:t>
      </w:r>
    </w:p>
    <w:p w:rsidR="008C0561" w:rsidRPr="008C0561" w:rsidRDefault="008C0561" w:rsidP="008C0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2.1.4. На основании принятого Комиссией по чрезвычайным ситуациям ФГБУ «АМП Каспийского моря» (далее-КЧС) решения о возникновении ЧС в зоне ответственности Заказчика,  выполнять работы по ликвидации разливов нефти и нефтепродуктов на указанных в</w:t>
      </w:r>
      <w:r w:rsidRPr="002900F0">
        <w:rPr>
          <w:sz w:val="24"/>
          <w:szCs w:val="24"/>
        </w:rPr>
        <w:t xml:space="preserve"> </w:t>
      </w:r>
      <w:r w:rsidRPr="008C0561">
        <w:rPr>
          <w:rFonts w:ascii="Times New Roman" w:hAnsi="Times New Roman" w:cs="Times New Roman"/>
          <w:sz w:val="24"/>
          <w:szCs w:val="24"/>
        </w:rPr>
        <w:t>п.1.1. акваториях, после поступления соответствующего Задания Заказчика (форма Задания – Приложение № 2 к настоящему договору).</w:t>
      </w:r>
    </w:p>
    <w:p w:rsidR="008C0561" w:rsidRPr="008C0561" w:rsidRDefault="008C0561" w:rsidP="008C0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После поступления соответствующего Задания Заказчика (форма задания – Приложение № 2 к настоящему Договору) Исполнитель обязан в установленные законодательством сроки приступить к выполнению работ в соответствии с условиями настоящего Договора.</w:t>
      </w:r>
    </w:p>
    <w:p w:rsidR="008C0561" w:rsidRPr="008C0561" w:rsidRDefault="008C0561" w:rsidP="008C0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lastRenderedPageBreak/>
        <w:t>В случае возникновения аварийного разлива нефти и нефтепродуктов на акваториях, указанных в п. 1.1. настоящего Договора и не подпадающего под понятие ЧС, решение о необходимости выполнения работ по ликвидации аварийного разлива нефти и нефтепродуктов принимается уполномоченным лицом Заказчика.</w:t>
      </w:r>
    </w:p>
    <w:p w:rsidR="008C0561" w:rsidRPr="008C0561" w:rsidRDefault="008C0561" w:rsidP="008C0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 xml:space="preserve">2.1.5. Участвовать в учениях по ликвидации загрязнения, проводимых Заказчиком в границах акватории морского порта Махачкала. Оплата участия Исполнителя в учениях входит в стоимость услуг, оказываемых Исполнителем по настоящему Договору. </w:t>
      </w:r>
    </w:p>
    <w:p w:rsidR="008C0561" w:rsidRPr="008C0561" w:rsidRDefault="008C0561" w:rsidP="008C0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2.1.6. Обеспечить выполнение требований и правил противопожарной безопасности, охраны труда и законодательства по охране окружающей среды при исполнении настоящего Договора, соблюдение регламента проводимых АСГ/ЛРН работ.</w:t>
      </w:r>
    </w:p>
    <w:p w:rsidR="008C0561" w:rsidRPr="008C0561" w:rsidRDefault="008C0561" w:rsidP="008C0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2.1.7. Довести до сведения Заказчика Ф.И.О руководителя аварийного формирования, назначенного Исполнителем.</w:t>
      </w:r>
    </w:p>
    <w:p w:rsidR="008C0561" w:rsidRPr="008C0561" w:rsidRDefault="008C0561" w:rsidP="008C0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0561">
        <w:rPr>
          <w:rFonts w:ascii="Times New Roman" w:hAnsi="Times New Roman" w:cs="Times New Roman"/>
          <w:sz w:val="24"/>
          <w:szCs w:val="24"/>
        </w:rPr>
        <w:t xml:space="preserve">2.2. </w:t>
      </w:r>
      <w:r w:rsidRPr="008C0561">
        <w:rPr>
          <w:rFonts w:ascii="Times New Roman" w:hAnsi="Times New Roman" w:cs="Times New Roman"/>
          <w:b/>
          <w:sz w:val="24"/>
          <w:szCs w:val="24"/>
          <w:u w:val="single"/>
        </w:rPr>
        <w:t>Исполнитель имеет право:</w:t>
      </w:r>
    </w:p>
    <w:p w:rsidR="008C0561" w:rsidRPr="008C0561" w:rsidRDefault="008C0561" w:rsidP="008C0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2.2.1. Получать от Заказчика полную и достоверную информацию, необходимую для оказания услуг по настоящему Договору.</w:t>
      </w:r>
    </w:p>
    <w:p w:rsidR="008C0561" w:rsidRPr="008C0561" w:rsidRDefault="008C0561" w:rsidP="008C0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2.2.2. В течение срока действия Договора по согласованию с Заказчиком заменять указанные в Приложении № 1 силы и технические средства любыми другими, эксплуатируемыми Исполнителем от своего имени или привлекаемыми от третьих лиц, силами и техническими средствами с сопоставимыми эксплуатационными характеристиками, отвечающими условиям исполнения настоящего Договора.</w:t>
      </w:r>
    </w:p>
    <w:p w:rsidR="008C0561" w:rsidRPr="008C0561" w:rsidRDefault="008C0561" w:rsidP="008C05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561">
        <w:rPr>
          <w:rFonts w:ascii="Times New Roman" w:hAnsi="Times New Roman" w:cs="Times New Roman"/>
          <w:sz w:val="24"/>
          <w:szCs w:val="24"/>
        </w:rPr>
        <w:t xml:space="preserve">2.3. </w:t>
      </w:r>
      <w:r w:rsidRPr="008C0561">
        <w:rPr>
          <w:rFonts w:ascii="Times New Roman" w:hAnsi="Times New Roman" w:cs="Times New Roman"/>
          <w:b/>
          <w:sz w:val="24"/>
          <w:szCs w:val="24"/>
          <w:u w:val="single"/>
        </w:rPr>
        <w:t>Заказчик обязуется:</w:t>
      </w:r>
    </w:p>
    <w:p w:rsidR="008C0561" w:rsidRPr="008C0561" w:rsidRDefault="008C0561" w:rsidP="008C0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2.3.1. Предоставить Исполнителю полную и достоверную информацию, необходимую для оказания услуг по настоящему Договору.</w:t>
      </w:r>
    </w:p>
    <w:p w:rsidR="008C0561" w:rsidRPr="008C0561" w:rsidRDefault="008C0561" w:rsidP="008C0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2.3.2. Информировать Исполнителя о произошедшей в границах акватории морского порта Махачкала аварийной ситуации по установленному каналу связи диспетчерской службы Исполнителя:</w:t>
      </w:r>
    </w:p>
    <w:p w:rsidR="008C0561" w:rsidRPr="008C0561" w:rsidRDefault="008C0561" w:rsidP="008C0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 xml:space="preserve">тел. </w:t>
      </w:r>
      <w:r w:rsidRPr="008C0561">
        <w:rPr>
          <w:rFonts w:ascii="Times New Roman" w:hAnsi="Times New Roman" w:cs="Times New Roman"/>
          <w:sz w:val="24"/>
          <w:szCs w:val="24"/>
          <w:u w:val="single"/>
        </w:rPr>
        <w:t>8 (8722) 70-03-13</w:t>
      </w:r>
      <w:r w:rsidRPr="008C0561">
        <w:rPr>
          <w:rFonts w:ascii="Times New Roman" w:hAnsi="Times New Roman" w:cs="Times New Roman"/>
          <w:sz w:val="24"/>
          <w:szCs w:val="24"/>
        </w:rPr>
        <w:t>.</w:t>
      </w:r>
    </w:p>
    <w:p w:rsidR="008C0561" w:rsidRPr="008C0561" w:rsidRDefault="008C0561" w:rsidP="008C0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2.3.3. Оплачивать оказанные Исполнителем услуги в размере и в сроки, предусмотренные настоящим Договором.</w:t>
      </w:r>
    </w:p>
    <w:p w:rsidR="008C0561" w:rsidRPr="008C0561" w:rsidRDefault="008C0561" w:rsidP="008C0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0561">
        <w:rPr>
          <w:rFonts w:ascii="Times New Roman" w:hAnsi="Times New Roman" w:cs="Times New Roman"/>
          <w:sz w:val="24"/>
          <w:szCs w:val="24"/>
        </w:rPr>
        <w:t xml:space="preserve">2.4. </w:t>
      </w:r>
      <w:r w:rsidRPr="008C0561">
        <w:rPr>
          <w:rFonts w:ascii="Times New Roman" w:hAnsi="Times New Roman" w:cs="Times New Roman"/>
          <w:b/>
          <w:sz w:val="24"/>
          <w:szCs w:val="24"/>
          <w:u w:val="single"/>
        </w:rPr>
        <w:t>Заказчик имеет право:</w:t>
      </w:r>
    </w:p>
    <w:p w:rsidR="008C0561" w:rsidRPr="008C0561" w:rsidRDefault="008C0561" w:rsidP="008C0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2.4.1. Проводить проверки готовности дежурных сил и средств Исполнителя, путём получения от Исполнителя донесений о его готовности.</w:t>
      </w:r>
    </w:p>
    <w:p w:rsidR="008C0561" w:rsidRPr="008C0561" w:rsidRDefault="008C0561" w:rsidP="008C0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61">
        <w:rPr>
          <w:rFonts w:ascii="Times New Roman" w:hAnsi="Times New Roman" w:cs="Times New Roman"/>
          <w:b/>
          <w:sz w:val="24"/>
          <w:szCs w:val="24"/>
        </w:rPr>
        <w:t>3. Стоимость услуг и порядок расчетов</w:t>
      </w:r>
    </w:p>
    <w:p w:rsidR="008C0561" w:rsidRPr="008C0561" w:rsidRDefault="008C0561" w:rsidP="008C0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8C0561">
        <w:rPr>
          <w:rFonts w:ascii="Times New Roman" w:hAnsi="Times New Roman" w:cs="Times New Roman"/>
          <w:sz w:val="24"/>
          <w:szCs w:val="24"/>
        </w:rPr>
        <w:t xml:space="preserve">Общая стоимость услуг, оказываемых Исполнителем по настоящему Договору, составляет 6 999 996  (Шесть миллионов девятьсот девяносто девять тысяч девятьсот девяносто шесть) рублей 00 копеек, в </w:t>
      </w:r>
      <w:proofErr w:type="spellStart"/>
      <w:r w:rsidRPr="008C056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C0561">
        <w:rPr>
          <w:rFonts w:ascii="Times New Roman" w:hAnsi="Times New Roman" w:cs="Times New Roman"/>
          <w:sz w:val="24"/>
          <w:szCs w:val="24"/>
        </w:rPr>
        <w:t>. НДС 18 % - 1 067 796 (Один миллион шестьдесят семь тысяч семьсот девяносто шесть) рублей 00 копеек, исходя из ежемесячной стоимости оказания услуг   583 333 (Пятьсот восемьдесят три тысячи триста тридцать три) рубля 00</w:t>
      </w:r>
      <w:proofErr w:type="gramEnd"/>
      <w:r w:rsidRPr="008C0561">
        <w:rPr>
          <w:rFonts w:ascii="Times New Roman" w:hAnsi="Times New Roman" w:cs="Times New Roman"/>
          <w:sz w:val="24"/>
          <w:szCs w:val="24"/>
        </w:rPr>
        <w:t xml:space="preserve"> копеек, в том числе НДС 18%.-88 983 (Восемьдесят восемь тысяч девятьсот восемьдесят три</w:t>
      </w:r>
      <w:proofErr w:type="gramStart"/>
      <w:r w:rsidRPr="008C0561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8C0561">
        <w:rPr>
          <w:rFonts w:ascii="Times New Roman" w:hAnsi="Times New Roman" w:cs="Times New Roman"/>
          <w:sz w:val="24"/>
          <w:szCs w:val="24"/>
        </w:rPr>
        <w:t>убля 00 копеек.</w:t>
      </w:r>
    </w:p>
    <w:p w:rsidR="008C0561" w:rsidRPr="008C0561" w:rsidRDefault="008C0561" w:rsidP="008C0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 xml:space="preserve">3.2. Исполнитель направляет Заказчику счет на оплату, счет-фактуру и акт приёма-сдачи оказанных услуг ежемесячно до 5-го числа месяца, следующего за </w:t>
      </w:r>
      <w:proofErr w:type="gramStart"/>
      <w:r w:rsidRPr="008C0561">
        <w:rPr>
          <w:rFonts w:ascii="Times New Roman" w:hAnsi="Times New Roman" w:cs="Times New Roman"/>
          <w:sz w:val="24"/>
          <w:szCs w:val="24"/>
        </w:rPr>
        <w:t>отчётным</w:t>
      </w:r>
      <w:proofErr w:type="gramEnd"/>
      <w:r w:rsidRPr="008C0561">
        <w:rPr>
          <w:rFonts w:ascii="Times New Roman" w:hAnsi="Times New Roman" w:cs="Times New Roman"/>
          <w:sz w:val="24"/>
          <w:szCs w:val="24"/>
        </w:rPr>
        <w:t>. Отчётным периодом является месяц.</w:t>
      </w:r>
    </w:p>
    <w:p w:rsidR="008C0561" w:rsidRPr="008C0561" w:rsidRDefault="008C0561" w:rsidP="008C0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 xml:space="preserve">3.3. Оплата услуг, оказанных Исполнителем по настоящему Договору согласно п. 1.1. Договора производится Заказчиком в форме безналичного расчета путём перечисления денежных средств на расчётный счёт Исполнителя в течение 15 (Пятнадцати) рабочих дней с момента подписания акта приёма-сдачи оказанных услуг на основании счёта на оплату и </w:t>
      </w:r>
      <w:r w:rsidRPr="008C05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оформленного в соответствии с законодательством </w:t>
      </w:r>
      <w:r w:rsidRPr="008C0561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</w:t>
      </w:r>
      <w:r w:rsidRPr="008C0561">
        <w:rPr>
          <w:rFonts w:ascii="Times New Roman" w:hAnsi="Times New Roman" w:cs="Times New Roman"/>
          <w:sz w:val="24"/>
          <w:szCs w:val="24"/>
        </w:rPr>
        <w:t>счёта-фактуры. Датой платежа считается дата списания денежных сре</w:t>
      </w:r>
      <w:proofErr w:type="gramStart"/>
      <w:r w:rsidRPr="008C0561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8C0561">
        <w:rPr>
          <w:rFonts w:ascii="Times New Roman" w:hAnsi="Times New Roman" w:cs="Times New Roman"/>
          <w:sz w:val="24"/>
          <w:szCs w:val="24"/>
        </w:rPr>
        <w:t>ицевого счёта Заказчика.</w:t>
      </w:r>
    </w:p>
    <w:p w:rsidR="008C0561" w:rsidRPr="008C0561" w:rsidRDefault="008C0561" w:rsidP="008C0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 xml:space="preserve">3.4. При выявлении факта предоставления ненадлежащим образом оформленных документов (счёта, </w:t>
      </w:r>
      <w:proofErr w:type="gramStart"/>
      <w:r w:rsidRPr="008C0561">
        <w:rPr>
          <w:rFonts w:ascii="Times New Roman" w:hAnsi="Times New Roman" w:cs="Times New Roman"/>
          <w:sz w:val="24"/>
          <w:szCs w:val="24"/>
        </w:rPr>
        <w:t>счёт-фактуры</w:t>
      </w:r>
      <w:proofErr w:type="gramEnd"/>
      <w:r w:rsidRPr="008C0561">
        <w:rPr>
          <w:rFonts w:ascii="Times New Roman" w:hAnsi="Times New Roman" w:cs="Times New Roman"/>
          <w:sz w:val="24"/>
          <w:szCs w:val="24"/>
        </w:rPr>
        <w:t xml:space="preserve">, акта приёма-сдачи оказанных услуг) Заказчик обязан сообщить данный факт Исполнителю (по факсу,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законодательством. </w:t>
      </w:r>
    </w:p>
    <w:p w:rsidR="008C0561" w:rsidRPr="008C0561" w:rsidRDefault="008C0561" w:rsidP="008C0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61">
        <w:rPr>
          <w:rFonts w:ascii="Times New Roman" w:hAnsi="Times New Roman" w:cs="Times New Roman"/>
          <w:b/>
          <w:sz w:val="24"/>
          <w:szCs w:val="24"/>
        </w:rPr>
        <w:t>4. Порядок сдачи и приёмки работ</w:t>
      </w:r>
    </w:p>
    <w:p w:rsidR="008C0561" w:rsidRPr="008C0561" w:rsidRDefault="008C0561" w:rsidP="008C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lastRenderedPageBreak/>
        <w:t xml:space="preserve">4.1. Исполнитель ежемесячно до 5 (Пятого) числа месяца, следующего за </w:t>
      </w:r>
      <w:proofErr w:type="gramStart"/>
      <w:r w:rsidRPr="008C0561">
        <w:rPr>
          <w:rFonts w:ascii="Times New Roman" w:hAnsi="Times New Roman" w:cs="Times New Roman"/>
          <w:sz w:val="24"/>
          <w:szCs w:val="24"/>
        </w:rPr>
        <w:t>отчётным</w:t>
      </w:r>
      <w:proofErr w:type="gramEnd"/>
      <w:r w:rsidRPr="008C0561">
        <w:rPr>
          <w:rFonts w:ascii="Times New Roman" w:hAnsi="Times New Roman" w:cs="Times New Roman"/>
          <w:sz w:val="24"/>
          <w:szCs w:val="24"/>
        </w:rPr>
        <w:t>, обязан предоставить Заказчику акт приёма-сдачи оказанных услуг, счёт-фактуру и счёт на оплату услуг.</w:t>
      </w:r>
    </w:p>
    <w:p w:rsidR="008C0561" w:rsidRPr="008C0561" w:rsidRDefault="008C0561" w:rsidP="008C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4.2. Заказчик в течение 5 (Пяти) рабочих дней со дня получения акта приёма-сдачи оказанных услуг, обязан направить Исполнителю подписанный акт приёма-сдачи оказанных услуг или мотивированный отказ от приемки услуг.</w:t>
      </w:r>
    </w:p>
    <w:p w:rsidR="008C0561" w:rsidRPr="008C0561" w:rsidRDefault="008C0561" w:rsidP="008C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4.3. В случае принятия Сторонами согласованного решения о прекращении услуг настоящий Договор расторгается, и между Сторонами проводится сверка расчётов. При этом Заказчик обязуется оплатить фактически оказанные Исполнителем до дня расторжения Договора услуги.</w:t>
      </w:r>
    </w:p>
    <w:p w:rsidR="008C0561" w:rsidRPr="008C0561" w:rsidRDefault="008C0561" w:rsidP="008C0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61">
        <w:rPr>
          <w:rFonts w:ascii="Times New Roman" w:hAnsi="Times New Roman" w:cs="Times New Roman"/>
          <w:b/>
          <w:sz w:val="24"/>
          <w:szCs w:val="24"/>
        </w:rPr>
        <w:t>5. Ответственность Сторон и порядок разрешения споров</w:t>
      </w:r>
    </w:p>
    <w:p w:rsidR="008C0561" w:rsidRPr="008C0561" w:rsidRDefault="008C0561" w:rsidP="008C05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5.1.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C0561" w:rsidRPr="008C0561" w:rsidRDefault="008C0561" w:rsidP="008C05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5.2. В случае просрочки исполнения Исполнителем обязательств, предусмотренных Договором, Исполнитель уплачивает Заказчику пени за каждый день просрочки, начиная со дня, следующего после дня истечения, установленного настоящим Договором,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8C0561" w:rsidRPr="008C0561" w:rsidRDefault="008C0561" w:rsidP="008C05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5.3. В случае просрочки исполнения Заказчиком обязательств, предусмотренных Договором, Заказчик выплачивает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8C0561" w:rsidRPr="008C0561" w:rsidRDefault="008C0561" w:rsidP="008C05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5.4. Уплата пени не освобождает Стороны от исполнения обязательств по настоящему Договору.</w:t>
      </w:r>
    </w:p>
    <w:p w:rsidR="008C0561" w:rsidRPr="008C0561" w:rsidRDefault="008C0561" w:rsidP="008C05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 xml:space="preserve">5.5. Ответственность Сторон в иных случаях определяется в соответствии с законодательством Российской Федерации. </w:t>
      </w:r>
    </w:p>
    <w:p w:rsidR="008C0561" w:rsidRPr="008C0561" w:rsidRDefault="008C0561" w:rsidP="008C0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5.6. В случае невозможности разрешения споров путём переговоров, Стороны передают их на рассмотрение в Арбитражный суд по месту нахождения ответчика.</w:t>
      </w:r>
    </w:p>
    <w:p w:rsidR="008C0561" w:rsidRPr="008C0561" w:rsidRDefault="008C0561" w:rsidP="008C056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61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8C0561" w:rsidRPr="008C0561" w:rsidRDefault="008C0561" w:rsidP="008C0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6.1. Настоящий Договор вступает в силу с  момента подписания, распространяет свое действие на правоотношение сторон, возникшие с 01 января 2018 года, и действует по 31 декабря 2018 года, а в части взаиморасчетов до полного исполнения Сторонами своих обязательств.</w:t>
      </w:r>
    </w:p>
    <w:p w:rsidR="008C0561" w:rsidRPr="008C0561" w:rsidRDefault="008C0561" w:rsidP="008C05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61">
        <w:rPr>
          <w:rFonts w:ascii="Times New Roman" w:hAnsi="Times New Roman" w:cs="Times New Roman"/>
          <w:b/>
          <w:sz w:val="24"/>
          <w:szCs w:val="24"/>
        </w:rPr>
        <w:t>7.</w:t>
      </w:r>
      <w:r w:rsidRPr="008C0561">
        <w:rPr>
          <w:rFonts w:ascii="Times New Roman" w:hAnsi="Times New Roman" w:cs="Times New Roman"/>
          <w:sz w:val="24"/>
          <w:szCs w:val="24"/>
        </w:rPr>
        <w:t xml:space="preserve"> </w:t>
      </w:r>
      <w:r w:rsidRPr="008C0561">
        <w:rPr>
          <w:rFonts w:ascii="Times New Roman" w:hAnsi="Times New Roman" w:cs="Times New Roman"/>
          <w:b/>
          <w:sz w:val="24"/>
          <w:szCs w:val="24"/>
        </w:rPr>
        <w:t>Антикоррупционная оговорка.</w:t>
      </w:r>
    </w:p>
    <w:p w:rsidR="008C0561" w:rsidRPr="008C0561" w:rsidRDefault="008C0561" w:rsidP="008C05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8C0561">
        <w:rPr>
          <w:rFonts w:ascii="Times New Roman" w:hAnsi="Times New Roman" w:cs="Times New Roman"/>
          <w:sz w:val="24"/>
          <w:szCs w:val="24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8C0561">
        <w:rPr>
          <w:rFonts w:ascii="Times New Roman" w:hAnsi="Times New Roman" w:cs="Times New Roman"/>
          <w:sz w:val="24"/>
          <w:szCs w:val="24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8C0561" w:rsidRPr="008C0561" w:rsidRDefault="008C0561" w:rsidP="008C05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7.2.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8C0561" w:rsidRPr="008C0561" w:rsidRDefault="008C0561" w:rsidP="008C056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61">
        <w:rPr>
          <w:rFonts w:ascii="Times New Roman" w:hAnsi="Times New Roman" w:cs="Times New Roman"/>
          <w:b/>
          <w:sz w:val="24"/>
          <w:szCs w:val="24"/>
        </w:rPr>
        <w:t>8. Прочие условия</w:t>
      </w:r>
    </w:p>
    <w:p w:rsidR="008C0561" w:rsidRPr="008C0561" w:rsidRDefault="008C0561" w:rsidP="008C0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8.1.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8C0561" w:rsidRPr="008C0561" w:rsidRDefault="008C0561" w:rsidP="008C0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lastRenderedPageBreak/>
        <w:t>8.2. Расторжение договора допускается по соглашению Сторон, по решению суда или в связи с односторонним отказом Стороны от исполнения Договора в соответствии с гражданским законодательством Российской Федерации.</w:t>
      </w:r>
    </w:p>
    <w:p w:rsidR="008C0561" w:rsidRPr="008C0561" w:rsidRDefault="008C0561" w:rsidP="008C0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8.3. Взаимоотношения Сторон, не урегулированные настоящим Договором, разрешаются в соответствии с действующим законодательством РФ.</w:t>
      </w:r>
    </w:p>
    <w:p w:rsidR="008C0561" w:rsidRPr="008C0561" w:rsidRDefault="008C0561" w:rsidP="008C0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8.4.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8C0561" w:rsidRPr="008C0561" w:rsidRDefault="008C0561" w:rsidP="008C0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8.5. Настоящий Договор составлен в двух экземплярах, имеющих одинаковую юридическую силу, по одному для каждой из Сторон.</w:t>
      </w:r>
    </w:p>
    <w:p w:rsidR="008C0561" w:rsidRPr="008C0561" w:rsidRDefault="008C0561" w:rsidP="008C056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61">
        <w:rPr>
          <w:rFonts w:ascii="Times New Roman" w:hAnsi="Times New Roman" w:cs="Times New Roman"/>
          <w:b/>
          <w:sz w:val="24"/>
          <w:szCs w:val="24"/>
        </w:rPr>
        <w:t>9. Место нахождения и платежные реквизиты Сторон</w:t>
      </w:r>
    </w:p>
    <w:tbl>
      <w:tblPr>
        <w:tblW w:w="10564" w:type="dxa"/>
        <w:tblLook w:val="01E0" w:firstRow="1" w:lastRow="1" w:firstColumn="1" w:lastColumn="1" w:noHBand="0" w:noVBand="0"/>
      </w:tblPr>
      <w:tblGrid>
        <w:gridCol w:w="5495"/>
        <w:gridCol w:w="4784"/>
        <w:gridCol w:w="285"/>
      </w:tblGrid>
      <w:tr w:rsidR="008C0561" w:rsidRPr="008C0561" w:rsidTr="00EF60BC">
        <w:tc>
          <w:tcPr>
            <w:tcW w:w="5495" w:type="dxa"/>
            <w:hideMark/>
          </w:tcPr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b/>
                <w:sz w:val="24"/>
                <w:szCs w:val="24"/>
              </w:rPr>
              <w:t>АО «ММТП»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sz w:val="24"/>
                <w:szCs w:val="24"/>
              </w:rPr>
              <w:t xml:space="preserve">367000, Республика Дагестан, г. Махачкала,        ул. </w:t>
            </w:r>
            <w:proofErr w:type="spellStart"/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Портовское</w:t>
            </w:r>
            <w:proofErr w:type="spellEnd"/>
            <w:r w:rsidRPr="008C0561">
              <w:rPr>
                <w:rFonts w:ascii="Times New Roman" w:hAnsi="Times New Roman" w:cs="Times New Roman"/>
                <w:sz w:val="24"/>
                <w:szCs w:val="24"/>
              </w:rPr>
              <w:t xml:space="preserve"> шоссе, 5 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ИНН  0573008521 КПП 054150001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ОГРН 1160571067436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ОКПО 01125896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. 40702810260320004681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в Ставропольском отделении № 5230 ПАО Сбербанк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к/с 30101810907020000615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БИК 040702615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Тел./факс: 8 (8722) 70-02-98/70-06-88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hideMark/>
          </w:tcPr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8C0561" w:rsidRPr="008C0561" w:rsidRDefault="008C0561" w:rsidP="008C056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ФГБУ «АМП Каспийского моря» 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sz w:val="24"/>
                <w:szCs w:val="24"/>
              </w:rPr>
              <w:t xml:space="preserve">Россия, 414016, г. Астрахань, 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ул. Капитана Краснова, 31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sz w:val="24"/>
                <w:szCs w:val="24"/>
              </w:rPr>
              <w:t xml:space="preserve">ИНН 3018010485/КПП 301801001 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8C0561">
              <w:rPr>
                <w:rFonts w:ascii="Times New Roman" w:hAnsi="Times New Roman" w:cs="Times New Roman"/>
                <w:sz w:val="24"/>
                <w:szCs w:val="24"/>
              </w:rPr>
              <w:t xml:space="preserve"> 20256Ц76300 в 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УФК по Астраханской области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/с УФК 40501810400002000002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в Отделении Астрахань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sz w:val="24"/>
                <w:szCs w:val="24"/>
              </w:rPr>
              <w:t xml:space="preserve">БИК 041203001     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ОКПО 36712354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Тел: 8 (8512) 58-45-69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Факс: 8 (8512) 58-45-66</w:t>
            </w:r>
          </w:p>
        </w:tc>
      </w:tr>
      <w:tr w:rsidR="008C0561" w:rsidRPr="007E5D61" w:rsidTr="00EF60BC">
        <w:trPr>
          <w:gridAfter w:val="1"/>
          <w:wAfter w:w="285" w:type="dxa"/>
        </w:trPr>
        <w:tc>
          <w:tcPr>
            <w:tcW w:w="5495" w:type="dxa"/>
          </w:tcPr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АО «ММТП»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____________________/М.Х. </w:t>
            </w:r>
            <w:proofErr w:type="spellStart"/>
            <w:r w:rsidRPr="008C0561">
              <w:rPr>
                <w:rFonts w:ascii="Times New Roman" w:hAnsi="Times New Roman" w:cs="Times New Roman"/>
                <w:b/>
                <w:sz w:val="24"/>
                <w:szCs w:val="24"/>
              </w:rPr>
              <w:t>Хидиров</w:t>
            </w:r>
            <w:proofErr w:type="spellEnd"/>
            <w:r w:rsidRPr="008C0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</w:t>
            </w:r>
          </w:p>
        </w:tc>
        <w:tc>
          <w:tcPr>
            <w:tcW w:w="4784" w:type="dxa"/>
          </w:tcPr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________________М.А. </w:t>
            </w:r>
            <w:proofErr w:type="spellStart"/>
            <w:r w:rsidRPr="008C0561">
              <w:rPr>
                <w:rFonts w:ascii="Times New Roman" w:hAnsi="Times New Roman" w:cs="Times New Roman"/>
                <w:b/>
                <w:sz w:val="24"/>
                <w:szCs w:val="24"/>
              </w:rPr>
              <w:t>Абдулатипов</w:t>
            </w:r>
            <w:proofErr w:type="spellEnd"/>
          </w:p>
        </w:tc>
      </w:tr>
    </w:tbl>
    <w:p w:rsidR="008C0561" w:rsidRDefault="008C0561" w:rsidP="008C056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0561" w:rsidRPr="008C0561" w:rsidRDefault="008C0561" w:rsidP="008C0561">
      <w:pPr>
        <w:tabs>
          <w:tab w:val="left" w:pos="4725"/>
          <w:tab w:val="left" w:pos="6270"/>
        </w:tabs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Договору </w:t>
      </w:r>
    </w:p>
    <w:p w:rsidR="008C0561" w:rsidRPr="008C0561" w:rsidRDefault="008C0561" w:rsidP="008C0561">
      <w:pPr>
        <w:tabs>
          <w:tab w:val="left" w:pos="4725"/>
          <w:tab w:val="left" w:pos="6270"/>
        </w:tabs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8C0561" w:rsidRPr="008C0561" w:rsidRDefault="008C0561" w:rsidP="008C0561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№____от «____»________201_ г.</w:t>
      </w:r>
    </w:p>
    <w:p w:rsidR="008C0561" w:rsidRPr="008C0561" w:rsidRDefault="008C0561" w:rsidP="008C0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561" w:rsidRPr="008C0561" w:rsidRDefault="008C0561" w:rsidP="008C0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561" w:rsidRPr="008C0561" w:rsidRDefault="008C0561" w:rsidP="008C0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61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8C0561" w:rsidRPr="008C0561" w:rsidRDefault="008C0561" w:rsidP="008C0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561" w:rsidRPr="008C0561" w:rsidRDefault="008C0561" w:rsidP="008C0561">
      <w:pPr>
        <w:tabs>
          <w:tab w:val="left" w:pos="54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на оказание услуг: «Несение аварийно-спасательной готовности  по ЛРН и выполнению работ по локализации и ликвидации аварийных разливов нефти и нефтепродуктов в морском порту Махачкала на 2018 год»</w:t>
      </w:r>
    </w:p>
    <w:p w:rsidR="008C0561" w:rsidRPr="008C0561" w:rsidRDefault="008C0561" w:rsidP="008C0561">
      <w:pPr>
        <w:tabs>
          <w:tab w:val="left" w:pos="54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561">
        <w:rPr>
          <w:rFonts w:ascii="Times New Roman" w:hAnsi="Times New Roman" w:cs="Times New Roman"/>
          <w:sz w:val="24"/>
          <w:szCs w:val="24"/>
        </w:rPr>
        <w:t xml:space="preserve">В соответствии с приказами Минтранса РФ от 06 апреля </w:t>
      </w:r>
      <w:smartTag w:uri="urn:schemas-microsoft-com:office:smarttags" w:element="metricconverter">
        <w:smartTagPr>
          <w:attr w:name="ProductID" w:val="2009 г"/>
        </w:smartTagPr>
        <w:r w:rsidRPr="008C0561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8C0561">
        <w:rPr>
          <w:rFonts w:ascii="Times New Roman" w:hAnsi="Times New Roman" w:cs="Times New Roman"/>
          <w:sz w:val="24"/>
          <w:szCs w:val="24"/>
        </w:rPr>
        <w:t>. № 53 «Об утверждении положения о функциональной подсистеме 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принадлежности», приказа Минтранса РФ от 07 июня 1999г. №32 «Об утверждении Положения об организации аварийно-спасательного обеспечения на морском транспорте» и</w:t>
      </w:r>
      <w:proofErr w:type="gramEnd"/>
      <w:r w:rsidRPr="008C05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561">
        <w:rPr>
          <w:rFonts w:ascii="Times New Roman" w:hAnsi="Times New Roman" w:cs="Times New Roman"/>
          <w:sz w:val="24"/>
          <w:szCs w:val="24"/>
        </w:rPr>
        <w:t>приказа Минтранса РФ от 06.02.2017 г. №33 «Об утверждении Требований к составу сил и средств постоянной готовности, предназначенных для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Федерации», приказа Минтранса РФ  от 07.07.2014 № 178 «Об утверждении Перечня услуг в морских портах, оказываемых администрациями морских портов</w:t>
      </w:r>
      <w:proofErr w:type="gramEnd"/>
      <w:r w:rsidRPr="008C0561">
        <w:rPr>
          <w:rFonts w:ascii="Times New Roman" w:hAnsi="Times New Roman" w:cs="Times New Roman"/>
          <w:sz w:val="24"/>
          <w:szCs w:val="24"/>
        </w:rPr>
        <w:t>»  организуется аварийно-спасательная готовность по ЛРН в зоне ответственности ФГБУ «АМП Каспийского моря» на акватории морского порта Махачкала.</w:t>
      </w:r>
    </w:p>
    <w:p w:rsidR="008C0561" w:rsidRPr="008C0561" w:rsidRDefault="008C0561" w:rsidP="008C0561">
      <w:pPr>
        <w:tabs>
          <w:tab w:val="left" w:pos="54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Целью аварийно-спасательной готовности является - несение аварийно-спасательных работ, несение готовности к локализации и ликвидации аварийных разливов нефти и нефтепродуктов, ликвидации последствий загрязнения территорий отходами производства и потребления, сточными и (или) нефтесодержащими водами, нефтью и другими опасными и (или) вредными для здоровья человека и (или) окружающей среды веществами в зоне ответственности Заказчика.</w:t>
      </w:r>
    </w:p>
    <w:p w:rsidR="008C0561" w:rsidRPr="00CA07CD" w:rsidRDefault="008C0561" w:rsidP="008C0561">
      <w:pPr>
        <w:pStyle w:val="af1"/>
        <w:numPr>
          <w:ilvl w:val="0"/>
          <w:numId w:val="29"/>
        </w:numPr>
        <w:ind w:hanging="436"/>
        <w:jc w:val="both"/>
        <w:rPr>
          <w:rFonts w:ascii="Times New Roman" w:hAnsi="Times New Roman"/>
        </w:rPr>
      </w:pPr>
      <w:r w:rsidRPr="00CA07CD">
        <w:rPr>
          <w:rFonts w:ascii="Times New Roman" w:hAnsi="Times New Roman"/>
        </w:rPr>
        <w:t>Исполнитель, обеспечивающий АСГ по ЛРН на акватории морск</w:t>
      </w:r>
      <w:r>
        <w:rPr>
          <w:rFonts w:ascii="Times New Roman" w:hAnsi="Times New Roman"/>
        </w:rPr>
        <w:t>ого</w:t>
      </w:r>
      <w:r w:rsidRPr="00CA07CD">
        <w:rPr>
          <w:rFonts w:ascii="Times New Roman" w:hAnsi="Times New Roman"/>
        </w:rPr>
        <w:t xml:space="preserve"> порт</w:t>
      </w:r>
      <w:r>
        <w:rPr>
          <w:rFonts w:ascii="Times New Roman" w:hAnsi="Times New Roman"/>
        </w:rPr>
        <w:t>а</w:t>
      </w:r>
      <w:r w:rsidRPr="00CA07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Махачкала </w:t>
      </w:r>
      <w:r w:rsidRPr="00CA07CD">
        <w:rPr>
          <w:rFonts w:ascii="Times New Roman" w:hAnsi="Times New Roman"/>
        </w:rPr>
        <w:t>должен иметь профессиональное аварийно- спасательное формирование, отвечающее следующим требованиям:</w:t>
      </w:r>
    </w:p>
    <w:p w:rsidR="008C0561" w:rsidRPr="00CA07CD" w:rsidRDefault="008C0561" w:rsidP="008C0561">
      <w:pPr>
        <w:pStyle w:val="af1"/>
        <w:numPr>
          <w:ilvl w:val="0"/>
          <w:numId w:val="29"/>
        </w:numPr>
        <w:ind w:hanging="436"/>
        <w:jc w:val="both"/>
        <w:rPr>
          <w:rFonts w:ascii="Times New Roman" w:hAnsi="Times New Roman"/>
        </w:rPr>
      </w:pPr>
      <w:r w:rsidRPr="00CA07CD">
        <w:rPr>
          <w:rFonts w:ascii="Times New Roman" w:hAnsi="Times New Roman"/>
        </w:rPr>
        <w:t>Статус формирования – профессиональное аварийно-спасательное формирование (ПАСФ).</w:t>
      </w:r>
    </w:p>
    <w:p w:rsidR="008C0561" w:rsidRPr="008C0561" w:rsidRDefault="008C0561" w:rsidP="008C0561">
      <w:pPr>
        <w:pStyle w:val="af1"/>
        <w:numPr>
          <w:ilvl w:val="1"/>
          <w:numId w:val="30"/>
        </w:numPr>
        <w:ind w:left="709" w:hanging="425"/>
        <w:jc w:val="both"/>
        <w:rPr>
          <w:rFonts w:ascii="Times New Roman" w:hAnsi="Times New Roman"/>
        </w:rPr>
      </w:pPr>
      <w:r w:rsidRPr="008C0561">
        <w:rPr>
          <w:rFonts w:ascii="Times New Roman" w:hAnsi="Times New Roman"/>
        </w:rPr>
        <w:t xml:space="preserve">Наличие аттестации – «Свидетельство об аттестации на право аварийно-спасательных работ», выданное Аттестационной комиссией </w:t>
      </w:r>
      <w:proofErr w:type="spellStart"/>
      <w:r w:rsidRPr="008C0561">
        <w:rPr>
          <w:rFonts w:ascii="Times New Roman" w:hAnsi="Times New Roman"/>
        </w:rPr>
        <w:t>Росморречфлота</w:t>
      </w:r>
      <w:proofErr w:type="spellEnd"/>
      <w:r w:rsidRPr="008C0561">
        <w:rPr>
          <w:rFonts w:ascii="Times New Roman" w:hAnsi="Times New Roman"/>
        </w:rPr>
        <w:t>, с обязательными видами проводимых работ:</w:t>
      </w:r>
    </w:p>
    <w:p w:rsidR="008C0561" w:rsidRPr="008C0561" w:rsidRDefault="008C0561" w:rsidP="008C0561">
      <w:pPr>
        <w:pStyle w:val="af1"/>
        <w:numPr>
          <w:ilvl w:val="2"/>
          <w:numId w:val="30"/>
        </w:numPr>
        <w:ind w:left="709" w:hanging="425"/>
        <w:jc w:val="both"/>
        <w:rPr>
          <w:rFonts w:ascii="Times New Roman" w:hAnsi="Times New Roman"/>
        </w:rPr>
      </w:pPr>
      <w:r w:rsidRPr="008C0561">
        <w:rPr>
          <w:rFonts w:ascii="Times New Roman" w:hAnsi="Times New Roman"/>
        </w:rPr>
        <w:t>Разведка зоны чрезвычайной ситуации (состояние объекта, территорий, маршрут о выдвижении сил и средств, определение границ зоны чрезвычайной ситуации).</w:t>
      </w:r>
    </w:p>
    <w:p w:rsidR="008C0561" w:rsidRPr="008C0561" w:rsidRDefault="008C0561" w:rsidP="008C0561">
      <w:pPr>
        <w:numPr>
          <w:ilvl w:val="2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Ввод сил и средств аварийно-спасательных служб, формирований в зону чрезвычайной ситуации.</w:t>
      </w:r>
    </w:p>
    <w:p w:rsidR="008C0561" w:rsidRPr="008C0561" w:rsidRDefault="008C0561" w:rsidP="008C0561">
      <w:pPr>
        <w:numPr>
          <w:ilvl w:val="2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Организация управления и связи в зоне чрезвычайной ситуации.</w:t>
      </w:r>
    </w:p>
    <w:p w:rsidR="008C0561" w:rsidRPr="008C0561" w:rsidRDefault="008C0561" w:rsidP="008C0561">
      <w:pPr>
        <w:numPr>
          <w:ilvl w:val="2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Ликвидация (локализация) на море разливов нефти  и нефтепродуктов.</w:t>
      </w:r>
    </w:p>
    <w:p w:rsidR="008C0561" w:rsidRPr="008C0561" w:rsidRDefault="008C0561" w:rsidP="008C0561">
      <w:pPr>
        <w:numPr>
          <w:ilvl w:val="2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Ликвидация (локализация) на внутренних морских водах разливов нефти и нефтепродуктов.</w:t>
      </w:r>
    </w:p>
    <w:p w:rsidR="008C0561" w:rsidRPr="008C0561" w:rsidRDefault="008C0561" w:rsidP="008C0561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 xml:space="preserve"> Персонал формирования – профессиональные спасатели, прошедшие специальную подготовку и имеющие практические навыки по ЛРН, аттестованные в установленном порядке. Численность персонала аварийно-спасательного формирования должна обеспечивать АСГ по ЛРН, проведение работ по локализации и ликвидации аварийных разливов нефти и нефтепродуктов в установленное время.</w:t>
      </w:r>
    </w:p>
    <w:p w:rsidR="008C0561" w:rsidRPr="008C0561" w:rsidRDefault="008C0561" w:rsidP="008C0561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Места дислокации сил и средств должны обеспечивать локализацию и ликвидацию разливов нефти и нефтепродуктов в установленное время (в течение 4 часов)  на акватории морского порта Махачкала.</w:t>
      </w:r>
    </w:p>
    <w:p w:rsidR="008C0561" w:rsidRPr="0027469E" w:rsidRDefault="008C0561" w:rsidP="008C0561">
      <w:pPr>
        <w:pStyle w:val="af1"/>
        <w:ind w:left="567" w:hanging="283"/>
        <w:jc w:val="both"/>
        <w:rPr>
          <w:rFonts w:ascii="Times New Roman" w:hAnsi="Times New Roman"/>
          <w:color w:val="FF0000"/>
        </w:rPr>
      </w:pPr>
      <w:r w:rsidRPr="0027469E">
        <w:rPr>
          <w:rFonts w:ascii="Times New Roman" w:hAnsi="Times New Roman"/>
          <w:color w:val="FF0000"/>
        </w:rPr>
        <w:tab/>
      </w:r>
    </w:p>
    <w:p w:rsidR="008C0561" w:rsidRPr="0027469E" w:rsidRDefault="008C0561" w:rsidP="008C0561">
      <w:pPr>
        <w:pStyle w:val="af1"/>
        <w:ind w:left="567" w:hanging="283"/>
        <w:jc w:val="both"/>
        <w:rPr>
          <w:rFonts w:ascii="Times New Roman" w:hAnsi="Times New Roman"/>
          <w:color w:val="FF0000"/>
        </w:rPr>
      </w:pPr>
      <w:r w:rsidRPr="0027469E">
        <w:rPr>
          <w:rFonts w:ascii="Times New Roman" w:hAnsi="Times New Roman"/>
          <w:color w:val="FF0000"/>
        </w:rPr>
        <w:lastRenderedPageBreak/>
        <w:tab/>
      </w:r>
    </w:p>
    <w:p w:rsidR="008C0561" w:rsidRPr="008C0561" w:rsidRDefault="008C0561" w:rsidP="008C0561">
      <w:pPr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Состав сил и средств исполнителя, привлекаемого для оказания услуг по несению аварийно-спасательной готовности по ЛРН и выполнению работ по локализации и ликвидации аварийных разливов нефти  и нефтепродуктов в морском порту Махачкала.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C0561" w:rsidRPr="008C0561" w:rsidTr="00EF60BC">
        <w:trPr>
          <w:trHeight w:val="241"/>
        </w:trPr>
        <w:tc>
          <w:tcPr>
            <w:tcW w:w="9781" w:type="dxa"/>
          </w:tcPr>
          <w:p w:rsidR="008C0561" w:rsidRPr="008C0561" w:rsidRDefault="008C0561" w:rsidP="00605BE5">
            <w:pPr>
              <w:pStyle w:val="af1"/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709" w:hanging="425"/>
              <w:jc w:val="both"/>
              <w:rPr>
                <w:rFonts w:ascii="Times New Roman" w:hAnsi="Times New Roman"/>
                <w:color w:val="FF0000"/>
              </w:rPr>
            </w:pPr>
            <w:r w:rsidRPr="008C0561">
              <w:rPr>
                <w:rFonts w:ascii="Times New Roman" w:hAnsi="Times New Roman"/>
              </w:rPr>
              <w:t xml:space="preserve">Судно </w:t>
            </w:r>
            <w:proofErr w:type="spellStart"/>
            <w:r w:rsidRPr="008C0561">
              <w:rPr>
                <w:rFonts w:ascii="Times New Roman" w:hAnsi="Times New Roman"/>
              </w:rPr>
              <w:t>бонопостановщик</w:t>
            </w:r>
            <w:proofErr w:type="spellEnd"/>
            <w:r w:rsidRPr="008C0561">
              <w:rPr>
                <w:rFonts w:ascii="Times New Roman" w:hAnsi="Times New Roman"/>
              </w:rPr>
              <w:t xml:space="preserve"> с оборудованием ЛРН - 1 ед. Должно быть укомплектовано профессиональным экипажем иметь действующие судовые документы.</w:t>
            </w:r>
          </w:p>
        </w:tc>
      </w:tr>
      <w:tr w:rsidR="008C0561" w:rsidRPr="008C0561" w:rsidTr="00EF60BC">
        <w:trPr>
          <w:trHeight w:val="241"/>
        </w:trPr>
        <w:tc>
          <w:tcPr>
            <w:tcW w:w="9781" w:type="dxa"/>
          </w:tcPr>
          <w:p w:rsidR="008C0561" w:rsidRPr="008C0561" w:rsidRDefault="008C0561" w:rsidP="008C0561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Вспомогательный катер – 1 ед.</w:t>
            </w:r>
          </w:p>
        </w:tc>
      </w:tr>
      <w:tr w:rsidR="008C0561" w:rsidRPr="008C0561" w:rsidTr="00EF60BC">
        <w:trPr>
          <w:trHeight w:val="330"/>
        </w:trPr>
        <w:tc>
          <w:tcPr>
            <w:tcW w:w="9781" w:type="dxa"/>
          </w:tcPr>
          <w:p w:rsidR="008C0561" w:rsidRPr="008C0561" w:rsidRDefault="008C0561" w:rsidP="008C0561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sz w:val="24"/>
                <w:szCs w:val="24"/>
              </w:rPr>
              <w:t xml:space="preserve">Надувные </w:t>
            </w:r>
            <w:proofErr w:type="spellStart"/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боновые</w:t>
            </w:r>
            <w:proofErr w:type="spellEnd"/>
            <w:r w:rsidRPr="008C0561">
              <w:rPr>
                <w:rFonts w:ascii="Times New Roman" w:hAnsi="Times New Roman" w:cs="Times New Roman"/>
                <w:sz w:val="24"/>
                <w:szCs w:val="24"/>
              </w:rPr>
              <w:t xml:space="preserve"> заграждения «Елан-2» либо эквивалент – не менее 500 метров.</w:t>
            </w:r>
          </w:p>
        </w:tc>
      </w:tr>
      <w:tr w:rsidR="008C0561" w:rsidRPr="008C0561" w:rsidTr="00EF60BC">
        <w:trPr>
          <w:trHeight w:val="330"/>
        </w:trPr>
        <w:tc>
          <w:tcPr>
            <w:tcW w:w="9781" w:type="dxa"/>
          </w:tcPr>
          <w:p w:rsidR="008C0561" w:rsidRPr="008C0561" w:rsidRDefault="008C0561" w:rsidP="008C0561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Боновое</w:t>
            </w:r>
            <w:proofErr w:type="spellEnd"/>
            <w:r w:rsidRPr="008C0561">
              <w:rPr>
                <w:rFonts w:ascii="Times New Roman" w:hAnsi="Times New Roman" w:cs="Times New Roman"/>
                <w:sz w:val="24"/>
                <w:szCs w:val="24"/>
              </w:rPr>
              <w:t xml:space="preserve"> заграждение постоянной плавучести БЗПП-1100 либо эквивалент – не менее 500 метров.</w:t>
            </w:r>
          </w:p>
          <w:p w:rsidR="008C0561" w:rsidRPr="008C0561" w:rsidRDefault="008C0561" w:rsidP="008C0561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sz w:val="24"/>
                <w:szCs w:val="24"/>
              </w:rPr>
              <w:t xml:space="preserve">Сорбирующие </w:t>
            </w:r>
            <w:proofErr w:type="spellStart"/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боновые</w:t>
            </w:r>
            <w:proofErr w:type="spellEnd"/>
            <w:r w:rsidRPr="008C0561">
              <w:rPr>
                <w:rFonts w:ascii="Times New Roman" w:hAnsi="Times New Roman" w:cs="Times New Roman"/>
                <w:sz w:val="24"/>
                <w:szCs w:val="24"/>
              </w:rPr>
              <w:t xml:space="preserve"> заграждения не менее 200 метров.</w:t>
            </w:r>
          </w:p>
        </w:tc>
      </w:tr>
      <w:tr w:rsidR="008C0561" w:rsidRPr="008C0561" w:rsidTr="00EF60BC">
        <w:trPr>
          <w:trHeight w:val="330"/>
        </w:trPr>
        <w:tc>
          <w:tcPr>
            <w:tcW w:w="9781" w:type="dxa"/>
          </w:tcPr>
          <w:p w:rsidR="008C0561" w:rsidRPr="008C0561" w:rsidRDefault="008C0561" w:rsidP="008C0561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Нефтесборные системы олеофильного или порогового типа – 3-4 ед. (общей производительностью 90-100 м3/час).</w:t>
            </w:r>
          </w:p>
        </w:tc>
      </w:tr>
      <w:tr w:rsidR="008C0561" w:rsidRPr="008C0561" w:rsidTr="00EF60BC">
        <w:trPr>
          <w:trHeight w:val="330"/>
        </w:trPr>
        <w:tc>
          <w:tcPr>
            <w:tcW w:w="9781" w:type="dxa"/>
          </w:tcPr>
          <w:p w:rsidR="008C0561" w:rsidRPr="008C0561" w:rsidRDefault="008C0561" w:rsidP="008C0561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Сорбент – не менее 400 кг.</w:t>
            </w:r>
          </w:p>
          <w:p w:rsidR="008C0561" w:rsidRPr="008C0561" w:rsidRDefault="008C0561" w:rsidP="008C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sz w:val="24"/>
                <w:szCs w:val="24"/>
              </w:rPr>
              <w:t xml:space="preserve">Емкости временного хранения нефтепродуктов разборная или плавающая объёмом не менее 20 м </w:t>
            </w:r>
            <w:r w:rsidRPr="008C0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</w:tc>
      </w:tr>
      <w:tr w:rsidR="008C0561" w:rsidRPr="008C0561" w:rsidTr="00EF60BC">
        <w:trPr>
          <w:trHeight w:val="80"/>
        </w:trPr>
        <w:tc>
          <w:tcPr>
            <w:tcW w:w="9781" w:type="dxa"/>
          </w:tcPr>
          <w:p w:rsidR="008C0561" w:rsidRPr="008C0561" w:rsidRDefault="008C0561" w:rsidP="008C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C0561" w:rsidRPr="008C0561" w:rsidRDefault="008C0561" w:rsidP="008C0561">
      <w:pPr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 xml:space="preserve"> Исполнитель должен представить:</w:t>
      </w:r>
    </w:p>
    <w:p w:rsidR="008C0561" w:rsidRPr="008C0561" w:rsidRDefault="008C0561" w:rsidP="008C0561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 xml:space="preserve">Соответствующую разрешительную документацию (лицензии, свидетельства) на </w:t>
      </w:r>
      <w:proofErr w:type="gramStart"/>
      <w:r w:rsidRPr="008C0561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8C0561">
        <w:rPr>
          <w:rFonts w:ascii="Times New Roman" w:hAnsi="Times New Roman" w:cs="Times New Roman"/>
          <w:sz w:val="24"/>
          <w:szCs w:val="24"/>
        </w:rPr>
        <w:t xml:space="preserve"> аварийно-спасательных работ.</w:t>
      </w:r>
    </w:p>
    <w:p w:rsidR="008C0561" w:rsidRPr="008C0561" w:rsidRDefault="008C0561" w:rsidP="008C0561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Перечень и характеристики судов и спецсредств с указанием мест постоянного базирования, которые могут быть дополнительно привлечены.</w:t>
      </w:r>
    </w:p>
    <w:p w:rsidR="008C0561" w:rsidRPr="008C0561" w:rsidRDefault="008C0561" w:rsidP="008C0561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 xml:space="preserve">Информацию о путях, способах, времени прибытия по вызову от мест постоянного </w:t>
      </w:r>
      <w:proofErr w:type="gramStart"/>
      <w:r w:rsidRPr="008C0561">
        <w:rPr>
          <w:rFonts w:ascii="Times New Roman" w:hAnsi="Times New Roman" w:cs="Times New Roman"/>
          <w:sz w:val="24"/>
          <w:szCs w:val="24"/>
        </w:rPr>
        <w:t>базирования</w:t>
      </w:r>
      <w:proofErr w:type="gramEnd"/>
      <w:r w:rsidRPr="008C0561">
        <w:rPr>
          <w:rFonts w:ascii="Times New Roman" w:hAnsi="Times New Roman" w:cs="Times New Roman"/>
          <w:sz w:val="24"/>
          <w:szCs w:val="24"/>
        </w:rPr>
        <w:t xml:space="preserve"> к местам возможного проведения перечисленных выше работ.</w:t>
      </w:r>
    </w:p>
    <w:p w:rsidR="008C0561" w:rsidRPr="008C0561" w:rsidRDefault="008C0561" w:rsidP="008C0561">
      <w:pPr>
        <w:tabs>
          <w:tab w:val="left" w:pos="3122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8C0561" w:rsidRPr="00CA07CD" w:rsidRDefault="008C0561" w:rsidP="008C0561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</w:p>
    <w:p w:rsidR="008C0561" w:rsidRPr="00CA07CD" w:rsidRDefault="008C0561" w:rsidP="008C0561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</w:p>
    <w:p w:rsidR="008C0561" w:rsidRPr="00CA07CD" w:rsidRDefault="008C0561" w:rsidP="008C0561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</w:p>
    <w:p w:rsidR="008C0561" w:rsidRPr="00CA07CD" w:rsidRDefault="008C0561" w:rsidP="008C0561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</w:p>
    <w:p w:rsidR="008C0561" w:rsidRDefault="008C0561" w:rsidP="008C0561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</w:p>
    <w:p w:rsidR="008C0561" w:rsidRPr="0056425B" w:rsidRDefault="008C0561" w:rsidP="008C0561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5647"/>
        <w:gridCol w:w="4917"/>
      </w:tblGrid>
      <w:tr w:rsidR="008C0561" w:rsidRPr="007E5D61" w:rsidTr="00EF60BC">
        <w:tc>
          <w:tcPr>
            <w:tcW w:w="5647" w:type="dxa"/>
          </w:tcPr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C056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АО «ММТП»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____________________/М.Х. </w:t>
            </w:r>
            <w:proofErr w:type="spellStart"/>
            <w:r w:rsidRPr="008C0561">
              <w:rPr>
                <w:rFonts w:ascii="Times New Roman" w:hAnsi="Times New Roman" w:cs="Times New Roman"/>
                <w:b/>
                <w:sz w:val="24"/>
                <w:szCs w:val="24"/>
              </w:rPr>
              <w:t>Хидиров</w:t>
            </w:r>
            <w:proofErr w:type="spellEnd"/>
            <w:r w:rsidRPr="008C05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4917" w:type="dxa"/>
          </w:tcPr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________________М.А. </w:t>
            </w:r>
            <w:proofErr w:type="spellStart"/>
            <w:r w:rsidRPr="008C0561">
              <w:rPr>
                <w:rFonts w:ascii="Times New Roman" w:hAnsi="Times New Roman" w:cs="Times New Roman"/>
                <w:b/>
                <w:sz w:val="24"/>
                <w:szCs w:val="24"/>
              </w:rPr>
              <w:t>Абдулатипов</w:t>
            </w:r>
            <w:proofErr w:type="spellEnd"/>
          </w:p>
        </w:tc>
      </w:tr>
    </w:tbl>
    <w:p w:rsidR="008C0561" w:rsidRDefault="008C0561" w:rsidP="008C0561">
      <w:pPr>
        <w:rPr>
          <w:sz w:val="24"/>
          <w:szCs w:val="24"/>
        </w:rPr>
      </w:pPr>
    </w:p>
    <w:p w:rsidR="008C0561" w:rsidRDefault="008C0561" w:rsidP="008C0561">
      <w:pPr>
        <w:rPr>
          <w:sz w:val="24"/>
          <w:szCs w:val="24"/>
        </w:rPr>
      </w:pPr>
    </w:p>
    <w:p w:rsidR="008C0561" w:rsidRDefault="008C0561" w:rsidP="008C0561">
      <w:pPr>
        <w:ind w:left="6521"/>
        <w:rPr>
          <w:sz w:val="24"/>
          <w:szCs w:val="24"/>
        </w:rPr>
      </w:pPr>
    </w:p>
    <w:p w:rsidR="008C0561" w:rsidRDefault="008C0561" w:rsidP="008C0561">
      <w:pPr>
        <w:ind w:left="6521"/>
        <w:rPr>
          <w:sz w:val="24"/>
          <w:szCs w:val="24"/>
        </w:rPr>
      </w:pPr>
    </w:p>
    <w:p w:rsidR="008C0561" w:rsidRDefault="008C0561" w:rsidP="008C0561">
      <w:pPr>
        <w:ind w:left="6521"/>
        <w:rPr>
          <w:sz w:val="24"/>
          <w:szCs w:val="24"/>
        </w:rPr>
      </w:pPr>
    </w:p>
    <w:p w:rsidR="008C0561" w:rsidRDefault="008C0561" w:rsidP="008C0561">
      <w:pPr>
        <w:ind w:left="6521"/>
        <w:rPr>
          <w:sz w:val="24"/>
          <w:szCs w:val="24"/>
        </w:rPr>
      </w:pPr>
    </w:p>
    <w:p w:rsidR="008C0561" w:rsidRPr="008C0561" w:rsidRDefault="008C0561" w:rsidP="008C0561">
      <w:pPr>
        <w:ind w:left="6521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  <w:r>
        <w:rPr>
          <w:rFonts w:ascii="Times New Roman" w:hAnsi="Times New Roman" w:cs="Times New Roman"/>
          <w:sz w:val="24"/>
          <w:szCs w:val="24"/>
        </w:rPr>
        <w:t>к Договору №____</w:t>
      </w:r>
      <w:r w:rsidRPr="008C0561">
        <w:rPr>
          <w:rFonts w:ascii="Times New Roman" w:hAnsi="Times New Roman" w:cs="Times New Roman"/>
          <w:sz w:val="24"/>
          <w:szCs w:val="24"/>
        </w:rPr>
        <w:t xml:space="preserve"> от «__»________201__ г.</w:t>
      </w:r>
    </w:p>
    <w:p w:rsidR="008C0561" w:rsidRPr="008C0561" w:rsidRDefault="008C0561" w:rsidP="008C0561">
      <w:pPr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ФОРМА</w:t>
      </w:r>
    </w:p>
    <w:p w:rsidR="008C0561" w:rsidRPr="008C0561" w:rsidRDefault="008C0561" w:rsidP="008C0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 xml:space="preserve">Задание </w:t>
      </w:r>
    </w:p>
    <w:p w:rsidR="008C0561" w:rsidRPr="008C0561" w:rsidRDefault="008C0561" w:rsidP="008C0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на выполнение аварийно-спасательных работ и работ по ликвидации разливов нефти и нефтепродуктов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"/>
        <w:gridCol w:w="2279"/>
        <w:gridCol w:w="3097"/>
        <w:gridCol w:w="1785"/>
        <w:gridCol w:w="2497"/>
      </w:tblGrid>
      <w:tr w:rsidR="008C0561" w:rsidRPr="00CA07CD" w:rsidTr="00EF60BC">
        <w:tc>
          <w:tcPr>
            <w:tcW w:w="10314" w:type="dxa"/>
            <w:gridSpan w:val="5"/>
          </w:tcPr>
          <w:p w:rsidR="008C0561" w:rsidRPr="008C0561" w:rsidRDefault="008C0561" w:rsidP="008C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61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 сообщает об обнаружении аварийного разлива нефтепродуктов</w:t>
            </w:r>
          </w:p>
        </w:tc>
      </w:tr>
      <w:tr w:rsidR="008C0561" w:rsidRPr="00CA07CD" w:rsidTr="00EF60BC">
        <w:tc>
          <w:tcPr>
            <w:tcW w:w="482" w:type="dxa"/>
          </w:tcPr>
          <w:p w:rsidR="008C0561" w:rsidRPr="008C0561" w:rsidRDefault="008C0561" w:rsidP="00EF60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56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86" w:type="dxa"/>
          </w:tcPr>
          <w:p w:rsidR="008C0561" w:rsidRPr="008C0561" w:rsidRDefault="008C0561" w:rsidP="008C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561">
              <w:rPr>
                <w:rFonts w:ascii="Times New Roman" w:hAnsi="Times New Roman" w:cs="Times New Roman"/>
                <w:sz w:val="23"/>
                <w:szCs w:val="23"/>
              </w:rPr>
              <w:t>Координаты, либо место разлива с привязкой к местности</w:t>
            </w:r>
          </w:p>
        </w:tc>
        <w:tc>
          <w:tcPr>
            <w:tcW w:w="7546" w:type="dxa"/>
            <w:gridSpan w:val="3"/>
          </w:tcPr>
          <w:p w:rsidR="008C0561" w:rsidRPr="008C0561" w:rsidRDefault="008C0561" w:rsidP="008C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C0561" w:rsidRPr="00CA07CD" w:rsidTr="00EF60BC">
        <w:tc>
          <w:tcPr>
            <w:tcW w:w="482" w:type="dxa"/>
          </w:tcPr>
          <w:p w:rsidR="008C0561" w:rsidRPr="008C0561" w:rsidRDefault="008C0561" w:rsidP="00EF60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56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86" w:type="dxa"/>
          </w:tcPr>
          <w:p w:rsidR="008C0561" w:rsidRPr="008C0561" w:rsidRDefault="008C0561" w:rsidP="008C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561">
              <w:rPr>
                <w:rFonts w:ascii="Times New Roman" w:hAnsi="Times New Roman" w:cs="Times New Roman"/>
                <w:sz w:val="23"/>
                <w:szCs w:val="23"/>
              </w:rPr>
              <w:t>Дата и время первого сообщения о разливе</w:t>
            </w:r>
          </w:p>
        </w:tc>
        <w:tc>
          <w:tcPr>
            <w:tcW w:w="7546" w:type="dxa"/>
            <w:gridSpan w:val="3"/>
          </w:tcPr>
          <w:p w:rsidR="008C0561" w:rsidRPr="008C0561" w:rsidRDefault="008C0561" w:rsidP="008C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C0561" w:rsidRPr="00CA07CD" w:rsidTr="00EF60BC">
        <w:tc>
          <w:tcPr>
            <w:tcW w:w="482" w:type="dxa"/>
          </w:tcPr>
          <w:p w:rsidR="008C0561" w:rsidRPr="008C0561" w:rsidRDefault="008C0561" w:rsidP="00EF60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56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86" w:type="dxa"/>
          </w:tcPr>
          <w:p w:rsidR="008C0561" w:rsidRPr="008C0561" w:rsidRDefault="008C0561" w:rsidP="008C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561">
              <w:rPr>
                <w:rFonts w:ascii="Times New Roman" w:hAnsi="Times New Roman" w:cs="Times New Roman"/>
                <w:sz w:val="23"/>
                <w:szCs w:val="23"/>
              </w:rPr>
              <w:t>Контактный телефон лица, сообщившего о разливе</w:t>
            </w:r>
          </w:p>
        </w:tc>
        <w:tc>
          <w:tcPr>
            <w:tcW w:w="7546" w:type="dxa"/>
            <w:gridSpan w:val="3"/>
          </w:tcPr>
          <w:p w:rsidR="008C0561" w:rsidRPr="008C0561" w:rsidRDefault="008C0561" w:rsidP="008C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C0561" w:rsidRPr="00CA07CD" w:rsidTr="00EF60BC">
        <w:tc>
          <w:tcPr>
            <w:tcW w:w="482" w:type="dxa"/>
          </w:tcPr>
          <w:p w:rsidR="008C0561" w:rsidRPr="008C0561" w:rsidRDefault="008C0561" w:rsidP="00EF60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56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286" w:type="dxa"/>
          </w:tcPr>
          <w:p w:rsidR="008C0561" w:rsidRPr="008C0561" w:rsidRDefault="008C0561" w:rsidP="008C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561">
              <w:rPr>
                <w:rFonts w:ascii="Times New Roman" w:hAnsi="Times New Roman" w:cs="Times New Roman"/>
                <w:sz w:val="23"/>
                <w:szCs w:val="23"/>
              </w:rPr>
              <w:t>Дата и время разлива (при наличии данных)</w:t>
            </w:r>
          </w:p>
        </w:tc>
        <w:tc>
          <w:tcPr>
            <w:tcW w:w="7546" w:type="dxa"/>
            <w:gridSpan w:val="3"/>
          </w:tcPr>
          <w:p w:rsidR="008C0561" w:rsidRPr="008C0561" w:rsidRDefault="008C0561" w:rsidP="008C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C0561" w:rsidRPr="00CA07CD" w:rsidTr="00EF60BC">
        <w:tc>
          <w:tcPr>
            <w:tcW w:w="482" w:type="dxa"/>
          </w:tcPr>
          <w:p w:rsidR="008C0561" w:rsidRPr="008C0561" w:rsidRDefault="008C0561" w:rsidP="00EF60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56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286" w:type="dxa"/>
          </w:tcPr>
          <w:p w:rsidR="008C0561" w:rsidRPr="008C0561" w:rsidRDefault="008C0561" w:rsidP="008C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561">
              <w:rPr>
                <w:rFonts w:ascii="Times New Roman" w:hAnsi="Times New Roman" w:cs="Times New Roman"/>
                <w:sz w:val="23"/>
                <w:szCs w:val="23"/>
              </w:rPr>
              <w:t>Источник ЧС (Н) (при наличии данных)</w:t>
            </w:r>
          </w:p>
        </w:tc>
        <w:tc>
          <w:tcPr>
            <w:tcW w:w="7546" w:type="dxa"/>
            <w:gridSpan w:val="3"/>
          </w:tcPr>
          <w:p w:rsidR="008C0561" w:rsidRPr="008C0561" w:rsidRDefault="008C0561" w:rsidP="008C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C0561" w:rsidRPr="00CA07CD" w:rsidTr="00EF60BC">
        <w:tc>
          <w:tcPr>
            <w:tcW w:w="482" w:type="dxa"/>
            <w:vMerge w:val="restart"/>
            <w:vAlign w:val="center"/>
          </w:tcPr>
          <w:p w:rsidR="008C0561" w:rsidRPr="008C0561" w:rsidRDefault="008C0561" w:rsidP="008C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56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286" w:type="dxa"/>
            <w:vMerge w:val="restart"/>
            <w:vAlign w:val="center"/>
          </w:tcPr>
          <w:p w:rsidR="008C0561" w:rsidRPr="008C0561" w:rsidRDefault="008C0561" w:rsidP="008C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561">
              <w:rPr>
                <w:rFonts w:ascii="Times New Roman" w:hAnsi="Times New Roman" w:cs="Times New Roman"/>
                <w:sz w:val="23"/>
                <w:szCs w:val="23"/>
              </w:rPr>
              <w:t>Характеристики разлива</w:t>
            </w:r>
          </w:p>
        </w:tc>
        <w:tc>
          <w:tcPr>
            <w:tcW w:w="3115" w:type="dxa"/>
          </w:tcPr>
          <w:p w:rsidR="008C0561" w:rsidRPr="008C0561" w:rsidRDefault="008C0561" w:rsidP="008C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561">
              <w:rPr>
                <w:rFonts w:ascii="Times New Roman" w:hAnsi="Times New Roman" w:cs="Times New Roman"/>
                <w:sz w:val="23"/>
                <w:szCs w:val="23"/>
              </w:rPr>
              <w:t>Род загрязнителя</w:t>
            </w:r>
          </w:p>
        </w:tc>
        <w:tc>
          <w:tcPr>
            <w:tcW w:w="1844" w:type="dxa"/>
          </w:tcPr>
          <w:p w:rsidR="008C0561" w:rsidRPr="008C0561" w:rsidRDefault="008C0561" w:rsidP="008C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8C0561">
              <w:rPr>
                <w:rFonts w:ascii="Times New Roman" w:hAnsi="Times New Roman" w:cs="Times New Roman"/>
                <w:sz w:val="23"/>
                <w:szCs w:val="23"/>
              </w:rPr>
              <w:t>Объем, т/м</w:t>
            </w:r>
            <w:r w:rsidRPr="008C0561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2587" w:type="dxa"/>
          </w:tcPr>
          <w:p w:rsidR="008C0561" w:rsidRPr="008C0561" w:rsidRDefault="008C0561" w:rsidP="008C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8C0561">
              <w:rPr>
                <w:rFonts w:ascii="Times New Roman" w:hAnsi="Times New Roman" w:cs="Times New Roman"/>
                <w:sz w:val="23"/>
                <w:szCs w:val="23"/>
              </w:rPr>
              <w:t>Площадь, м</w:t>
            </w:r>
            <w:proofErr w:type="gramStart"/>
            <w:r w:rsidRPr="008C0561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</w:p>
        </w:tc>
      </w:tr>
      <w:tr w:rsidR="008C0561" w:rsidRPr="00CA07CD" w:rsidTr="00EF60BC">
        <w:tc>
          <w:tcPr>
            <w:tcW w:w="0" w:type="auto"/>
            <w:vMerge/>
            <w:vAlign w:val="center"/>
          </w:tcPr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</w:tcPr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5" w:type="dxa"/>
          </w:tcPr>
          <w:p w:rsidR="008C0561" w:rsidRPr="008C0561" w:rsidRDefault="008C0561" w:rsidP="008C0561">
            <w:pPr>
              <w:pStyle w:val="af1"/>
              <w:numPr>
                <w:ilvl w:val="0"/>
                <w:numId w:val="27"/>
              </w:numPr>
              <w:autoSpaceDN w:val="0"/>
              <w:rPr>
                <w:rFonts w:ascii="Times New Roman" w:hAnsi="Times New Roman"/>
                <w:sz w:val="23"/>
                <w:szCs w:val="23"/>
              </w:rPr>
            </w:pPr>
            <w:r w:rsidRPr="008C0561">
              <w:rPr>
                <w:rFonts w:ascii="Times New Roman" w:hAnsi="Times New Roman"/>
                <w:sz w:val="23"/>
                <w:szCs w:val="23"/>
              </w:rPr>
              <w:t>нефтепродукты</w:t>
            </w:r>
          </w:p>
          <w:p w:rsidR="008C0561" w:rsidRPr="008C0561" w:rsidRDefault="008C0561" w:rsidP="008C0561">
            <w:pPr>
              <w:pStyle w:val="af1"/>
              <w:numPr>
                <w:ilvl w:val="0"/>
                <w:numId w:val="27"/>
              </w:numPr>
              <w:autoSpaceDN w:val="0"/>
              <w:rPr>
                <w:rFonts w:ascii="Times New Roman" w:hAnsi="Times New Roman"/>
                <w:sz w:val="23"/>
                <w:szCs w:val="23"/>
              </w:rPr>
            </w:pPr>
            <w:r w:rsidRPr="008C0561">
              <w:rPr>
                <w:rFonts w:ascii="Times New Roman" w:hAnsi="Times New Roman"/>
                <w:sz w:val="23"/>
                <w:szCs w:val="23"/>
              </w:rPr>
              <w:t>дизельное топливо</w:t>
            </w:r>
          </w:p>
          <w:p w:rsidR="008C0561" w:rsidRPr="008C0561" w:rsidRDefault="008C0561" w:rsidP="008C0561">
            <w:pPr>
              <w:pStyle w:val="af1"/>
              <w:numPr>
                <w:ilvl w:val="0"/>
                <w:numId w:val="27"/>
              </w:numPr>
              <w:autoSpaceDN w:val="0"/>
              <w:rPr>
                <w:rFonts w:ascii="Times New Roman" w:hAnsi="Times New Roman"/>
                <w:sz w:val="23"/>
                <w:szCs w:val="23"/>
              </w:rPr>
            </w:pPr>
            <w:r w:rsidRPr="008C0561">
              <w:rPr>
                <w:rFonts w:ascii="Times New Roman" w:hAnsi="Times New Roman"/>
                <w:sz w:val="23"/>
                <w:szCs w:val="23"/>
              </w:rPr>
              <w:t>машинное масло</w:t>
            </w:r>
          </w:p>
        </w:tc>
        <w:tc>
          <w:tcPr>
            <w:tcW w:w="1844" w:type="dxa"/>
          </w:tcPr>
          <w:p w:rsidR="008C0561" w:rsidRPr="008C0561" w:rsidRDefault="008C0561" w:rsidP="008C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7" w:type="dxa"/>
          </w:tcPr>
          <w:p w:rsidR="008C0561" w:rsidRPr="008C0561" w:rsidRDefault="008C0561" w:rsidP="008C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C0561" w:rsidRPr="00CA07CD" w:rsidTr="00EF60BC">
        <w:tc>
          <w:tcPr>
            <w:tcW w:w="482" w:type="dxa"/>
          </w:tcPr>
          <w:p w:rsidR="008C0561" w:rsidRPr="008C0561" w:rsidRDefault="008C0561" w:rsidP="008C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56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286" w:type="dxa"/>
          </w:tcPr>
          <w:p w:rsidR="008C0561" w:rsidRPr="008C0561" w:rsidRDefault="008C0561" w:rsidP="008C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C0561">
              <w:rPr>
                <w:rFonts w:ascii="Times New Roman" w:hAnsi="Times New Roman" w:cs="Times New Roman"/>
                <w:sz w:val="23"/>
                <w:szCs w:val="23"/>
              </w:rPr>
              <w:t>Гидрометеоусловия</w:t>
            </w:r>
            <w:proofErr w:type="spellEnd"/>
          </w:p>
        </w:tc>
        <w:tc>
          <w:tcPr>
            <w:tcW w:w="3115" w:type="dxa"/>
          </w:tcPr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C0561">
              <w:rPr>
                <w:rFonts w:ascii="Times New Roman" w:hAnsi="Times New Roman" w:cs="Times New Roman"/>
                <w:sz w:val="23"/>
                <w:szCs w:val="23"/>
              </w:rPr>
              <w:t xml:space="preserve">Скорость ветра – 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C0561">
              <w:rPr>
                <w:rFonts w:ascii="Times New Roman" w:hAnsi="Times New Roman" w:cs="Times New Roman"/>
                <w:sz w:val="23"/>
                <w:szCs w:val="23"/>
              </w:rPr>
              <w:t xml:space="preserve">Направление ветра – 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C0561">
              <w:rPr>
                <w:rFonts w:ascii="Times New Roman" w:hAnsi="Times New Roman" w:cs="Times New Roman"/>
                <w:sz w:val="23"/>
                <w:szCs w:val="23"/>
              </w:rPr>
              <w:t xml:space="preserve">Волнение – 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C0561">
              <w:rPr>
                <w:rFonts w:ascii="Times New Roman" w:hAnsi="Times New Roman" w:cs="Times New Roman"/>
                <w:sz w:val="23"/>
                <w:szCs w:val="23"/>
              </w:rPr>
              <w:t xml:space="preserve">Температура воздуха - </w:t>
            </w:r>
          </w:p>
        </w:tc>
        <w:tc>
          <w:tcPr>
            <w:tcW w:w="4431" w:type="dxa"/>
            <w:gridSpan w:val="2"/>
          </w:tcPr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C0561">
              <w:rPr>
                <w:rFonts w:ascii="Times New Roman" w:hAnsi="Times New Roman" w:cs="Times New Roman"/>
                <w:sz w:val="23"/>
                <w:szCs w:val="23"/>
              </w:rPr>
              <w:t xml:space="preserve">Условия видимости – 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C0561">
              <w:rPr>
                <w:rFonts w:ascii="Times New Roman" w:hAnsi="Times New Roman" w:cs="Times New Roman"/>
                <w:sz w:val="23"/>
                <w:szCs w:val="23"/>
              </w:rPr>
              <w:t xml:space="preserve">Ледовые условия – </w:t>
            </w: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C0561" w:rsidRPr="008C0561" w:rsidRDefault="008C0561" w:rsidP="008C056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C0561" w:rsidRPr="00CA07CD" w:rsidTr="00EF60BC">
        <w:tc>
          <w:tcPr>
            <w:tcW w:w="482" w:type="dxa"/>
          </w:tcPr>
          <w:p w:rsidR="008C0561" w:rsidRPr="008C0561" w:rsidRDefault="008C0561" w:rsidP="008C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56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286" w:type="dxa"/>
          </w:tcPr>
          <w:p w:rsidR="008C0561" w:rsidRPr="008C0561" w:rsidRDefault="008C0561" w:rsidP="008C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561">
              <w:rPr>
                <w:rFonts w:ascii="Times New Roman" w:hAnsi="Times New Roman" w:cs="Times New Roman"/>
                <w:sz w:val="23"/>
                <w:szCs w:val="23"/>
              </w:rPr>
              <w:t>Оценка ситуации</w:t>
            </w:r>
          </w:p>
        </w:tc>
        <w:tc>
          <w:tcPr>
            <w:tcW w:w="7546" w:type="dxa"/>
            <w:gridSpan w:val="3"/>
          </w:tcPr>
          <w:p w:rsidR="008C0561" w:rsidRPr="008C0561" w:rsidRDefault="008C0561" w:rsidP="008C0561">
            <w:pPr>
              <w:pStyle w:val="af1"/>
              <w:numPr>
                <w:ilvl w:val="0"/>
                <w:numId w:val="27"/>
              </w:numPr>
              <w:autoSpaceDN w:val="0"/>
              <w:rPr>
                <w:rFonts w:ascii="Times New Roman" w:hAnsi="Times New Roman"/>
                <w:sz w:val="23"/>
                <w:szCs w:val="23"/>
              </w:rPr>
            </w:pPr>
            <w:r w:rsidRPr="008C0561">
              <w:rPr>
                <w:rFonts w:ascii="Times New Roman" w:hAnsi="Times New Roman"/>
                <w:sz w:val="23"/>
                <w:szCs w:val="23"/>
              </w:rPr>
              <w:t>Разлив остановлен         Время:</w:t>
            </w:r>
          </w:p>
          <w:p w:rsidR="008C0561" w:rsidRPr="008C0561" w:rsidRDefault="008C0561" w:rsidP="008C0561">
            <w:pPr>
              <w:pStyle w:val="af1"/>
              <w:numPr>
                <w:ilvl w:val="0"/>
                <w:numId w:val="27"/>
              </w:numPr>
              <w:autoSpaceDN w:val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C0561">
              <w:rPr>
                <w:rFonts w:ascii="Times New Roman" w:hAnsi="Times New Roman"/>
                <w:sz w:val="23"/>
                <w:szCs w:val="23"/>
              </w:rPr>
              <w:t>Разлив продолжается</w:t>
            </w:r>
          </w:p>
        </w:tc>
      </w:tr>
      <w:tr w:rsidR="008C0561" w:rsidRPr="00CA07CD" w:rsidTr="00EF60BC">
        <w:tc>
          <w:tcPr>
            <w:tcW w:w="482" w:type="dxa"/>
          </w:tcPr>
          <w:p w:rsidR="008C0561" w:rsidRPr="008C0561" w:rsidRDefault="008C0561" w:rsidP="008C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56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286" w:type="dxa"/>
          </w:tcPr>
          <w:p w:rsidR="008C0561" w:rsidRPr="008C0561" w:rsidRDefault="008C0561" w:rsidP="008C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561">
              <w:rPr>
                <w:rFonts w:ascii="Times New Roman" w:hAnsi="Times New Roman" w:cs="Times New Roman"/>
                <w:sz w:val="23"/>
                <w:szCs w:val="23"/>
              </w:rPr>
              <w:t>Характер и масштаб загрязнения местности, водоемов</w:t>
            </w:r>
          </w:p>
        </w:tc>
        <w:tc>
          <w:tcPr>
            <w:tcW w:w="7546" w:type="dxa"/>
            <w:gridSpan w:val="3"/>
          </w:tcPr>
          <w:p w:rsidR="008C0561" w:rsidRPr="008C0561" w:rsidRDefault="008C0561" w:rsidP="008C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C0561" w:rsidRPr="00CA07CD" w:rsidTr="00EF60BC">
        <w:tc>
          <w:tcPr>
            <w:tcW w:w="482" w:type="dxa"/>
          </w:tcPr>
          <w:p w:rsidR="008C0561" w:rsidRPr="008C0561" w:rsidRDefault="008C0561" w:rsidP="008C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56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286" w:type="dxa"/>
          </w:tcPr>
          <w:p w:rsidR="008C0561" w:rsidRPr="008C0561" w:rsidRDefault="008C0561" w:rsidP="008C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561">
              <w:rPr>
                <w:rFonts w:ascii="Times New Roman" w:hAnsi="Times New Roman" w:cs="Times New Roman"/>
                <w:sz w:val="23"/>
                <w:szCs w:val="23"/>
              </w:rPr>
              <w:t>Предпринятые действия</w:t>
            </w:r>
          </w:p>
        </w:tc>
        <w:tc>
          <w:tcPr>
            <w:tcW w:w="7546" w:type="dxa"/>
            <w:gridSpan w:val="3"/>
          </w:tcPr>
          <w:p w:rsidR="008C0561" w:rsidRPr="008C0561" w:rsidRDefault="008C0561" w:rsidP="008C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C0561" w:rsidRPr="00CA07CD" w:rsidTr="00EF60BC">
        <w:tc>
          <w:tcPr>
            <w:tcW w:w="482" w:type="dxa"/>
          </w:tcPr>
          <w:p w:rsidR="008C0561" w:rsidRPr="008C0561" w:rsidRDefault="008C0561" w:rsidP="008C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56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286" w:type="dxa"/>
          </w:tcPr>
          <w:p w:rsidR="008C0561" w:rsidRPr="008C0561" w:rsidRDefault="008C0561" w:rsidP="008C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561">
              <w:rPr>
                <w:rFonts w:ascii="Times New Roman" w:hAnsi="Times New Roman" w:cs="Times New Roman"/>
                <w:sz w:val="23"/>
                <w:szCs w:val="23"/>
              </w:rPr>
              <w:t>Другие потенциальные виды опасности</w:t>
            </w:r>
          </w:p>
        </w:tc>
        <w:tc>
          <w:tcPr>
            <w:tcW w:w="7546" w:type="dxa"/>
            <w:gridSpan w:val="3"/>
          </w:tcPr>
          <w:p w:rsidR="008C0561" w:rsidRPr="008C0561" w:rsidRDefault="008C0561" w:rsidP="00EF60BC">
            <w:pPr>
              <w:jc w:val="center"/>
              <w:rPr>
                <w:sz w:val="23"/>
                <w:szCs w:val="23"/>
              </w:rPr>
            </w:pPr>
          </w:p>
        </w:tc>
      </w:tr>
      <w:tr w:rsidR="008C0561" w:rsidRPr="00CA07CD" w:rsidTr="00EF60BC">
        <w:tc>
          <w:tcPr>
            <w:tcW w:w="482" w:type="dxa"/>
          </w:tcPr>
          <w:p w:rsidR="008C0561" w:rsidRPr="008C0561" w:rsidRDefault="008C0561" w:rsidP="008C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561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286" w:type="dxa"/>
          </w:tcPr>
          <w:p w:rsidR="008C0561" w:rsidRPr="008C0561" w:rsidRDefault="008C0561" w:rsidP="008C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561">
              <w:rPr>
                <w:rFonts w:ascii="Times New Roman" w:hAnsi="Times New Roman" w:cs="Times New Roman"/>
                <w:sz w:val="23"/>
                <w:szCs w:val="23"/>
              </w:rPr>
              <w:t>Рекомендации и/или примечания</w:t>
            </w:r>
          </w:p>
        </w:tc>
        <w:tc>
          <w:tcPr>
            <w:tcW w:w="7546" w:type="dxa"/>
            <w:gridSpan w:val="3"/>
          </w:tcPr>
          <w:p w:rsidR="008C0561" w:rsidRPr="008C0561" w:rsidRDefault="008C0561" w:rsidP="00EF60BC">
            <w:pPr>
              <w:jc w:val="center"/>
              <w:rPr>
                <w:sz w:val="23"/>
                <w:szCs w:val="23"/>
              </w:rPr>
            </w:pPr>
          </w:p>
        </w:tc>
      </w:tr>
    </w:tbl>
    <w:p w:rsidR="008C0561" w:rsidRDefault="008C0561" w:rsidP="008C0561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8C0561" w:rsidRPr="008C0561" w:rsidRDefault="008C0561" w:rsidP="008C0561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Руководитель ФГБУ «АМП Каспийского моря» (либо назначенное им лицо):___________________</w:t>
      </w:r>
    </w:p>
    <w:p w:rsidR="008C0561" w:rsidRPr="008C0561" w:rsidRDefault="008C0561" w:rsidP="008C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Должность                                                                          ФИО</w:t>
      </w:r>
    </w:p>
    <w:p w:rsidR="008C0561" w:rsidRPr="008C0561" w:rsidRDefault="008C0561" w:rsidP="008C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61">
        <w:rPr>
          <w:rFonts w:ascii="Times New Roman" w:hAnsi="Times New Roman" w:cs="Times New Roman"/>
          <w:sz w:val="24"/>
          <w:szCs w:val="24"/>
        </w:rPr>
        <w:t>Дата:______________   Время:______________   Подпись    ____________________</w:t>
      </w:r>
    </w:p>
    <w:p w:rsidR="008C0561" w:rsidRPr="00CA07CD" w:rsidRDefault="008C0561" w:rsidP="008C0561">
      <w:pPr>
        <w:rPr>
          <w:sz w:val="24"/>
          <w:szCs w:val="24"/>
        </w:rPr>
      </w:pPr>
    </w:p>
    <w:p w:rsidR="00304B8A" w:rsidRPr="00D76B73" w:rsidRDefault="00304B8A" w:rsidP="00D76B73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04B8A" w:rsidRPr="00D76B73" w:rsidSect="00D76B73">
      <w:headerReference w:type="even" r:id="rId9"/>
      <w:head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42" w:rsidRDefault="00DE3442" w:rsidP="005D5581">
      <w:pPr>
        <w:spacing w:after="0" w:line="240" w:lineRule="auto"/>
      </w:pPr>
      <w:r>
        <w:separator/>
      </w:r>
    </w:p>
  </w:endnote>
  <w:endnote w:type="continuationSeparator" w:id="0">
    <w:p w:rsidR="00DE3442" w:rsidRDefault="00DE3442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42" w:rsidRDefault="00DE3442" w:rsidP="005D5581">
      <w:pPr>
        <w:spacing w:after="0" w:line="240" w:lineRule="auto"/>
      </w:pPr>
      <w:r>
        <w:separator/>
      </w:r>
    </w:p>
  </w:footnote>
  <w:footnote w:type="continuationSeparator" w:id="0">
    <w:p w:rsidR="00DE3442" w:rsidRDefault="00DE3442" w:rsidP="005D5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67" w:rsidRDefault="00745C67" w:rsidP="007353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5C67" w:rsidRDefault="00745C6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67" w:rsidRDefault="00745C67" w:rsidP="007353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493F">
      <w:rPr>
        <w:rStyle w:val="ab"/>
        <w:noProof/>
      </w:rPr>
      <w:t>6</w:t>
    </w:r>
    <w:r>
      <w:rPr>
        <w:rStyle w:val="ab"/>
      </w:rPr>
      <w:fldChar w:fldCharType="end"/>
    </w:r>
  </w:p>
  <w:p w:rsidR="00745C67" w:rsidRDefault="00745C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7743EB"/>
    <w:multiLevelType w:val="multilevel"/>
    <w:tmpl w:val="305ECE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6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21774"/>
    <w:multiLevelType w:val="hybridMultilevel"/>
    <w:tmpl w:val="F19EC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003EC"/>
    <w:multiLevelType w:val="multilevel"/>
    <w:tmpl w:val="A67425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573CA4"/>
    <w:multiLevelType w:val="multilevel"/>
    <w:tmpl w:val="E6F6E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2689E"/>
    <w:multiLevelType w:val="multilevel"/>
    <w:tmpl w:val="D4F2D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6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7">
    <w:nsid w:val="74CE4174"/>
    <w:multiLevelType w:val="hybridMultilevel"/>
    <w:tmpl w:val="1BDE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A67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9"/>
  </w:num>
  <w:num w:numId="3">
    <w:abstractNumId w:val="24"/>
  </w:num>
  <w:num w:numId="4">
    <w:abstractNumId w:val="13"/>
  </w:num>
  <w:num w:numId="5">
    <w:abstractNumId w:val="22"/>
  </w:num>
  <w:num w:numId="6">
    <w:abstractNumId w:val="9"/>
  </w:num>
  <w:num w:numId="7">
    <w:abstractNumId w:val="26"/>
  </w:num>
  <w:num w:numId="8">
    <w:abstractNumId w:val="7"/>
  </w:num>
  <w:num w:numId="9">
    <w:abstractNumId w:val="5"/>
  </w:num>
  <w:num w:numId="10">
    <w:abstractNumId w:val="23"/>
  </w:num>
  <w:num w:numId="11">
    <w:abstractNumId w:val="16"/>
  </w:num>
  <w:num w:numId="12">
    <w:abstractNumId w:val="20"/>
  </w:num>
  <w:num w:numId="13">
    <w:abstractNumId w:val="15"/>
  </w:num>
  <w:num w:numId="14">
    <w:abstractNumId w:val="10"/>
  </w:num>
  <w:num w:numId="15">
    <w:abstractNumId w:val="8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17"/>
  </w:num>
  <w:num w:numId="21">
    <w:abstractNumId w:val="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1"/>
  </w:num>
  <w:num w:numId="25">
    <w:abstractNumId w:val="2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5F33"/>
    <w:rsid w:val="00033062"/>
    <w:rsid w:val="00033B48"/>
    <w:rsid w:val="000404F1"/>
    <w:rsid w:val="00046BDB"/>
    <w:rsid w:val="00052181"/>
    <w:rsid w:val="0006110E"/>
    <w:rsid w:val="00062552"/>
    <w:rsid w:val="00092008"/>
    <w:rsid w:val="00093776"/>
    <w:rsid w:val="000A5D91"/>
    <w:rsid w:val="000B6DD3"/>
    <w:rsid w:val="000D4494"/>
    <w:rsid w:val="000D689D"/>
    <w:rsid w:val="000D719C"/>
    <w:rsid w:val="000E18CB"/>
    <w:rsid w:val="000F31CB"/>
    <w:rsid w:val="000F7FB7"/>
    <w:rsid w:val="00112A42"/>
    <w:rsid w:val="0012329C"/>
    <w:rsid w:val="001260F6"/>
    <w:rsid w:val="001265B7"/>
    <w:rsid w:val="00132409"/>
    <w:rsid w:val="0014477F"/>
    <w:rsid w:val="00150240"/>
    <w:rsid w:val="00161AB9"/>
    <w:rsid w:val="00170718"/>
    <w:rsid w:val="00182E6C"/>
    <w:rsid w:val="00187053"/>
    <w:rsid w:val="00196AB0"/>
    <w:rsid w:val="001B0337"/>
    <w:rsid w:val="001C0A77"/>
    <w:rsid w:val="001F46AF"/>
    <w:rsid w:val="00203513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3245"/>
    <w:rsid w:val="00277A35"/>
    <w:rsid w:val="00291271"/>
    <w:rsid w:val="002A19C7"/>
    <w:rsid w:val="002A38CD"/>
    <w:rsid w:val="002C36A0"/>
    <w:rsid w:val="002E5BF6"/>
    <w:rsid w:val="002E68E7"/>
    <w:rsid w:val="002F15E7"/>
    <w:rsid w:val="002F356E"/>
    <w:rsid w:val="00302C7D"/>
    <w:rsid w:val="00304B8A"/>
    <w:rsid w:val="003155D9"/>
    <w:rsid w:val="00321DA3"/>
    <w:rsid w:val="00322231"/>
    <w:rsid w:val="003423BD"/>
    <w:rsid w:val="00362760"/>
    <w:rsid w:val="00372205"/>
    <w:rsid w:val="00387888"/>
    <w:rsid w:val="003A0052"/>
    <w:rsid w:val="003A66E2"/>
    <w:rsid w:val="003B2C90"/>
    <w:rsid w:val="003B544D"/>
    <w:rsid w:val="003D6A3A"/>
    <w:rsid w:val="00410A1F"/>
    <w:rsid w:val="00415DB9"/>
    <w:rsid w:val="00420258"/>
    <w:rsid w:val="0043241D"/>
    <w:rsid w:val="00471C64"/>
    <w:rsid w:val="004768CE"/>
    <w:rsid w:val="004A493F"/>
    <w:rsid w:val="004A5578"/>
    <w:rsid w:val="004B7884"/>
    <w:rsid w:val="004C4FD8"/>
    <w:rsid w:val="004C782D"/>
    <w:rsid w:val="004D017F"/>
    <w:rsid w:val="004F05D8"/>
    <w:rsid w:val="005049B7"/>
    <w:rsid w:val="00504F79"/>
    <w:rsid w:val="005063C9"/>
    <w:rsid w:val="00521D0C"/>
    <w:rsid w:val="005248AB"/>
    <w:rsid w:val="00526D2F"/>
    <w:rsid w:val="005348D9"/>
    <w:rsid w:val="005364A6"/>
    <w:rsid w:val="0055207F"/>
    <w:rsid w:val="00553C55"/>
    <w:rsid w:val="005970BD"/>
    <w:rsid w:val="005B4C2B"/>
    <w:rsid w:val="005C64BF"/>
    <w:rsid w:val="005D5581"/>
    <w:rsid w:val="005F72D3"/>
    <w:rsid w:val="0060119C"/>
    <w:rsid w:val="0060472F"/>
    <w:rsid w:val="00605BE5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26EB"/>
    <w:rsid w:val="00695F55"/>
    <w:rsid w:val="006D26F2"/>
    <w:rsid w:val="006E062E"/>
    <w:rsid w:val="006E278B"/>
    <w:rsid w:val="006E2EA0"/>
    <w:rsid w:val="006F10F4"/>
    <w:rsid w:val="006F50CF"/>
    <w:rsid w:val="006F5656"/>
    <w:rsid w:val="006F787E"/>
    <w:rsid w:val="00700EAD"/>
    <w:rsid w:val="00716B2B"/>
    <w:rsid w:val="00720916"/>
    <w:rsid w:val="00730D72"/>
    <w:rsid w:val="00745C67"/>
    <w:rsid w:val="00745EEE"/>
    <w:rsid w:val="00753260"/>
    <w:rsid w:val="007A129A"/>
    <w:rsid w:val="007A1E5D"/>
    <w:rsid w:val="007A464B"/>
    <w:rsid w:val="007D4533"/>
    <w:rsid w:val="007D7A09"/>
    <w:rsid w:val="007E787C"/>
    <w:rsid w:val="007F16A3"/>
    <w:rsid w:val="007F6753"/>
    <w:rsid w:val="008017D2"/>
    <w:rsid w:val="008230C3"/>
    <w:rsid w:val="008267FF"/>
    <w:rsid w:val="00834D47"/>
    <w:rsid w:val="00836C09"/>
    <w:rsid w:val="00837C37"/>
    <w:rsid w:val="0084036C"/>
    <w:rsid w:val="00846967"/>
    <w:rsid w:val="00880789"/>
    <w:rsid w:val="00883CDE"/>
    <w:rsid w:val="008C0561"/>
    <w:rsid w:val="008C59E0"/>
    <w:rsid w:val="008E3BCE"/>
    <w:rsid w:val="008F4392"/>
    <w:rsid w:val="009062AC"/>
    <w:rsid w:val="0091061A"/>
    <w:rsid w:val="0091293B"/>
    <w:rsid w:val="00920608"/>
    <w:rsid w:val="00925DD2"/>
    <w:rsid w:val="00954BCF"/>
    <w:rsid w:val="0095703A"/>
    <w:rsid w:val="00962FAB"/>
    <w:rsid w:val="00972101"/>
    <w:rsid w:val="00972435"/>
    <w:rsid w:val="00982BAE"/>
    <w:rsid w:val="00985D27"/>
    <w:rsid w:val="009B4E94"/>
    <w:rsid w:val="009E2A6A"/>
    <w:rsid w:val="00A02020"/>
    <w:rsid w:val="00A125D4"/>
    <w:rsid w:val="00A22F87"/>
    <w:rsid w:val="00A23DDA"/>
    <w:rsid w:val="00A34AA5"/>
    <w:rsid w:val="00A47D75"/>
    <w:rsid w:val="00A50741"/>
    <w:rsid w:val="00A51FF6"/>
    <w:rsid w:val="00A756ED"/>
    <w:rsid w:val="00A774B3"/>
    <w:rsid w:val="00A8705A"/>
    <w:rsid w:val="00AA5816"/>
    <w:rsid w:val="00AB251F"/>
    <w:rsid w:val="00AC4D64"/>
    <w:rsid w:val="00AF538D"/>
    <w:rsid w:val="00B01241"/>
    <w:rsid w:val="00B1547C"/>
    <w:rsid w:val="00B32C1F"/>
    <w:rsid w:val="00B475E3"/>
    <w:rsid w:val="00B47FEF"/>
    <w:rsid w:val="00B607E7"/>
    <w:rsid w:val="00B87778"/>
    <w:rsid w:val="00BA212F"/>
    <w:rsid w:val="00BC2263"/>
    <w:rsid w:val="00BD0121"/>
    <w:rsid w:val="00BD24F1"/>
    <w:rsid w:val="00BE0900"/>
    <w:rsid w:val="00C143D5"/>
    <w:rsid w:val="00C1522C"/>
    <w:rsid w:val="00C17E04"/>
    <w:rsid w:val="00C40957"/>
    <w:rsid w:val="00C576F3"/>
    <w:rsid w:val="00C87E3E"/>
    <w:rsid w:val="00C97BB8"/>
    <w:rsid w:val="00CA49F5"/>
    <w:rsid w:val="00CA646D"/>
    <w:rsid w:val="00CD0172"/>
    <w:rsid w:val="00CD37C4"/>
    <w:rsid w:val="00CE0F8F"/>
    <w:rsid w:val="00CF69A1"/>
    <w:rsid w:val="00D165F3"/>
    <w:rsid w:val="00D175FB"/>
    <w:rsid w:val="00D627C4"/>
    <w:rsid w:val="00D715F8"/>
    <w:rsid w:val="00D7446D"/>
    <w:rsid w:val="00D74756"/>
    <w:rsid w:val="00D76B73"/>
    <w:rsid w:val="00D83120"/>
    <w:rsid w:val="00D83B52"/>
    <w:rsid w:val="00D86FD6"/>
    <w:rsid w:val="00D914E8"/>
    <w:rsid w:val="00DA392C"/>
    <w:rsid w:val="00DA3C94"/>
    <w:rsid w:val="00DB7ADA"/>
    <w:rsid w:val="00DC0416"/>
    <w:rsid w:val="00DE3442"/>
    <w:rsid w:val="00DF009B"/>
    <w:rsid w:val="00DF5F49"/>
    <w:rsid w:val="00E00D94"/>
    <w:rsid w:val="00E11CC0"/>
    <w:rsid w:val="00E13863"/>
    <w:rsid w:val="00E15264"/>
    <w:rsid w:val="00E27801"/>
    <w:rsid w:val="00E33224"/>
    <w:rsid w:val="00E35E5D"/>
    <w:rsid w:val="00E535ED"/>
    <w:rsid w:val="00E83F3A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17940"/>
    <w:rsid w:val="00F220CA"/>
    <w:rsid w:val="00F32E3C"/>
    <w:rsid w:val="00F42D6B"/>
    <w:rsid w:val="00F56D4E"/>
    <w:rsid w:val="00F87642"/>
    <w:rsid w:val="00FA06A1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link w:val="af2"/>
    <w:uiPriority w:val="99"/>
    <w:qFormat/>
    <w:rsid w:val="00D76B7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76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Абзац списка Знак"/>
    <w:link w:val="af1"/>
    <w:uiPriority w:val="99"/>
    <w:locked/>
    <w:rsid w:val="00D76B73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link w:val="af2"/>
    <w:uiPriority w:val="99"/>
    <w:qFormat/>
    <w:rsid w:val="00D76B7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76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Абзац списка Знак"/>
    <w:link w:val="af1"/>
    <w:uiPriority w:val="99"/>
    <w:locked/>
    <w:rsid w:val="00D76B73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E410F59-17E4-4C4E-BAED-664DB264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11</Pages>
  <Words>3781</Words>
  <Characters>21557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Локтионова</cp:lastModifiedBy>
  <cp:revision>48</cp:revision>
  <cp:lastPrinted>2018-02-15T08:38:00Z</cp:lastPrinted>
  <dcterms:created xsi:type="dcterms:W3CDTF">2016-02-11T11:19:00Z</dcterms:created>
  <dcterms:modified xsi:type="dcterms:W3CDTF">2018-02-15T08:40:00Z</dcterms:modified>
</cp:coreProperties>
</file>